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document xmlns="http://schemas.openxmlformats.org/wordprocessingml/2006/main" xmlns:mc="http://schemas.openxmlformats.org/markup-compatibility/2006" xmlns:r="http://schemas.openxmlformats.org/officeDocument/2006/relationships" mc:Ignorable="w14 w15 wp14">
  <body>
    <p>
      <pPr>
        <spacing after="60" before="100"/>
      </pPr>
      <r>
        <rPr>
          <rFonts ascii="Calibri" cs="Calibri" eastAsia="Calibri" hAnsi="Calibri"/>
          <b/>
          <bCs/>
          <color val="2E74B5"/>
          <sz val="22"/>
          <szCs val="22"/>
        </rPr>
        <t xml:space="preserve">BUSINESS RESILIENCE PULSE CHECK</t>
      </r>
    </p>
    <p>
      <pPr>
        <spacing after="200"/>
      </pPr>
      <r>
        <rPr>
          <rFonts ascii="Calibri" cs="Calibri" eastAsia="Calibri" hAnsi="Calibri"/>
          <b/>
          <bCs/>
          <color val="595959"/>
          <sz val="20"/>
          <szCs val="20"/>
        </rPr>
        <t xml:space="preserve">PC-202</t>
      </r>
    </p>
    <p>
      <pPr>
        <spacing after="120"/>
      </pPr>
      <r>
        <rPr>
          <rFonts ascii="Calibri" cs="Calibri" eastAsia="Calibri" hAnsi="Calibri"/>
          <b/>
          <bCs/>
          <color val="1F3864"/>
          <sz val="52"/>
          <szCs val="52"/>
        </rPr>
        <t xml:space="preserve">Statement of Work and Engagement Terms</t>
      </r>
    </p>
    <p>
      <pPr>
        <spacing after="100"/>
      </pPr>
      <r>
        <rPr>
          <rFonts ascii="Calibri" cs="Calibri" eastAsia="Calibri" hAnsi="Calibri"/>
          <color val="595959"/>
          <sz val="24"/>
          <szCs val="24"/>
        </rPr>
        <t xml:space="preserve">Annotated legal template defining scope, deliverables, timeline, pricing, advisory disclaimers, and, as Exhibit A, the Cancellation and Rescheduling Policy</t>
      </r>
    </p>
    <p>
      <pPr>
        <pBdr>
          <bottom val="single" color="2E74B5" sz="8" space="6"/>
        </pBdr>
        <spacing after="80"/>
      </pPr>
      <r>
        <rPr>
          <rFonts ascii="Calibri" cs="Calibri" eastAsia="Calibri" hAnsi="Calibri"/>
          <color val="595959"/>
          <sz val="20"/>
          <szCs val="20"/>
        </rPr>
        <t xml:space="preserve">Legal Template  |  Version 1.0  |  July 2026</t>
      </r>
    </p>
    <p>
      <pPr>
        <spacing after="160"/>
      </pPr>
    </p>
    <p>
      <pPr>
        <spacing after="240" before="0" line="276"/>
      </pPr>
      <r>
        <rPr>
          <rFonts ascii="Calibri" cs="Calibri" eastAsia="Calibri" hAnsi="Calibri"/>
          <i/>
          <iCs/>
          <color val="595959"/>
          <sz val="21"/>
          <szCs val="21"/>
        </rPr>
        <t xml:space="preserve">This template does not constitute legal advice.</t>
      </r>
    </p>
    <p>
      <pPr>
        <pStyle val="Heading1"/>
        <keepNext/>
        <spacing after="140" before="320"/>
      </pPr>
      <r>
        <rPr>
          <rFonts ascii="Calibri" cs="Calibri" eastAsia="Calibri" hAnsi="Calibri"/>
          <b/>
          <bCs/>
          <color val="1F3864"/>
          <sz val="30"/>
          <szCs val="30"/>
        </rPr>
        <t xml:space="preserve">How to Use This Template</t>
      </r>
    </p>
    <p>
      <pPr>
        <spacing after="120" before="0" line="276"/>
      </pPr>
      <r>
        <rPr>
          <rFonts ascii="Calibri" cs="Calibri" eastAsia="Calibri" hAnsi="Calibri"/>
          <color val="404040"/>
          <sz val="21"/>
          <szCs val="21"/>
        </rPr>
        <t xml:space="preserve">This is an annotated first-draft template. It contains substantively complete language that practitioners should customize for their practice and have reviewed by their own legal counsel before use. Square-bracketed fields such as [DATE] and [AMOUNT] mark values you must supply. Three types of annotation boxes appear throughout:</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2E74B5" sz="24"/>
              <bottom val="none" color="FFFFFF" sz="0"/>
              <right val="none" color="FFFFFF" sz="0"/>
            </tcBorders>
            <shd fill="DEEBF7" val="clear"/>
            <tcMar>
              <top type="dxa" w="100"/>
              <left type="dxa" w="160"/>
              <bottom type="dxa" w="100"/>
              <right type="dxa" w="160"/>
            </tcMar>
          </tcPr>
          <p>
            <pPr>
              <spacing after="60"/>
            </pPr>
            <r>
              <rPr>
                <rFonts ascii="Calibri" cs="Calibri" eastAsia="Calibri" hAnsi="Calibri"/>
                <b/>
                <bCs/>
                <color val="2E74B5"/>
                <sz val="20"/>
                <szCs val="20"/>
              </rPr>
              <t xml:space="preserve">✎  CUSTOMIZE</t>
            </r>
          </p>
          <p>
            <pPr>
              <spacing after="40" before="0" line="276"/>
            </pPr>
            <r>
              <rPr>
                <rFonts ascii="Calibri" cs="Calibri" eastAsia="Calibri" hAnsi="Calibri"/>
                <color val="404040"/>
                <sz val="20"/>
                <szCs val="20"/>
              </rPr>
              <t xml:space="preserve">Blue boxes indicate fields or sections that must be customized with the practitioner's specific information: organization names, addresses, rates, jurisdictions, and service descriptions.</t>
            </r>
          </p>
        </tc>
      </tr>
    </tbl>
    <p>
      <pPr>
        <spacing after="80"/>
      </pP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C00000" sz="24"/>
              <bottom val="none" color="FFFFFF" sz="0"/>
              <right val="none" color="FFFFFF" sz="0"/>
            </tcBorders>
            <shd fill="FBE4E4" val="clear"/>
            <tcMar>
              <top type="dxa" w="100"/>
              <left type="dxa" w="160"/>
              <bottom type="dxa" w="100"/>
              <right type="dxa" w="160"/>
            </tcMar>
          </tcPr>
          <p>
            <pPr>
              <spacing after="60"/>
            </pPr>
            <r>
              <rPr>
                <rFonts ascii="Calibri" cs="Calibri" eastAsia="Calibri" hAnsi="Calibri"/>
                <b/>
                <bCs/>
                <color val="C00000"/>
                <sz val="20"/>
                <szCs val="20"/>
              </rPr>
              <t xml:space="preserve">⚖  ATTORNEY REVIEW REQUIRED</t>
            </r>
          </p>
          <p>
            <pPr>
              <spacing after="40" before="0" line="276"/>
            </pPr>
            <r>
              <rPr>
                <rFonts ascii="Calibri" cs="Calibri" eastAsia="Calibri" hAnsi="Calibri"/>
                <color val="404040"/>
                <sz val="20"/>
                <szCs val="20"/>
              </rPr>
              <t xml:space="preserve">Red boxes indicate provisions that require attorney review before use. These sections contain substantive legal provisions where local law, specific business circumstances, or risk tolerance may require modification.</t>
            </r>
          </p>
        </tc>
      </tr>
    </tbl>
    <p>
      <pPr>
        <spacing after="80"/>
      </pP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1F3864" sz="24"/>
              <bottom val="none" color="FFFFFF" sz="0"/>
              <right val="none" color="FFFFFF" sz="0"/>
            </tcBorders>
            <shd fill="EDF2F9" val="clear"/>
            <tcMar>
              <top type="dxa" w="100"/>
              <left type="dxa" w="160"/>
              <bottom type="dxa" w="100"/>
              <right type="dxa" w="160"/>
            </tcMar>
          </tcPr>
          <p>
            <pPr>
              <spacing after="60"/>
            </pPr>
            <r>
              <rPr>
                <rFonts ascii="Calibri" cs="Calibri" eastAsia="Calibri" hAnsi="Calibri"/>
                <b/>
                <bCs/>
                <color val="1F3864"/>
                <sz val="20"/>
                <szCs val="20"/>
              </rPr>
              <t xml:space="preserve">ℹ  GUIDANCE</t>
            </r>
          </p>
          <p>
            <pPr>
              <spacing after="40" before="0" line="276"/>
            </pPr>
            <r>
              <rPr>
                <rFonts ascii="Calibri" cs="Calibri" eastAsia="Calibri" hAnsi="Calibri"/>
                <color val="404040"/>
                <sz val="20"/>
                <szCs val="20"/>
              </rPr>
              <t xml:space="preserve">Blue-bordered boxes provide context explaining the purpose of a provision, common variations, and considerations for customization.</t>
            </r>
          </p>
        </tc>
      </tr>
    </tbl>
    <p>
      <pPr>
        <spacing after="80"/>
      </pP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BF8F00" sz="24"/>
              <bottom val="none" color="FFFFFF" sz="0"/>
              <right val="none" color="FFFFFF" sz="0"/>
            </tcBorders>
            <shd fill="FFF2CC" val="clear"/>
            <tcMar>
              <top type="dxa" w="100"/>
              <left type="dxa" w="160"/>
              <bottom type="dxa" w="100"/>
              <right type="dxa" w="160"/>
            </tcMar>
          </tcPr>
          <p>
            <pPr>
              <spacing after="60"/>
            </pPr>
            <r>
              <rPr>
                <rFonts ascii="Calibri" cs="Calibri" eastAsia="Calibri" hAnsi="Calibri"/>
                <b/>
                <bCs/>
                <color val="BF8F00"/>
                <sz val="20"/>
                <szCs val="20"/>
              </rPr>
              <t xml:space="preserve">▶  ACTION REQUIRED: Before client use</t>
            </r>
          </p>
          <p>
            <pPr>
              <spacing after="40" before="0" line="276"/>
            </pPr>
            <r>
              <rPr>
                <rFonts ascii="Calibri" cs="Calibri" eastAsia="Calibri" hAnsi="Calibri"/>
                <color val="404040"/>
                <sz val="20"/>
                <szCs val="20"/>
              </rPr>
              <t xml:space="preserve">Delete all annotation boxes before using this template with a client. The final document should contain only the legal text with your customized information inserted. Annotations are for the practitioner's preparation process only.</t>
            </r>
          </p>
        </tc>
      </tr>
    </tbl>
    <p>
      <r>
        <br type="page"/>
      </r>
    </p>
    <p>
      <pPr>
        <pStyle val="Heading1"/>
        <keepNext/>
        <spacing after="140" before="320"/>
      </pPr>
      <r>
        <rPr>
          <rFonts ascii="Calibri" cs="Calibri" eastAsia="Calibri" hAnsi="Calibri"/>
          <b/>
          <bCs/>
          <color val="1F3864"/>
          <sz val="30"/>
          <szCs val="30"/>
        </rPr>
        <t xml:space="preserve">Statement of Work and Engagement Terms</t>
      </r>
    </p>
    <p>
      <pPr>
        <spacing after="120" before="0" line="276"/>
      </pPr>
      <r>
        <rPr>
          <rFonts ascii="Calibri" cs="Calibri" eastAsia="Calibri" hAnsi="Calibri"/>
          <color val="404040"/>
          <sz val="21"/>
          <szCs val="21"/>
        </rPr>
        <t xml:space="preserve">This Statement of Work and Engagement Terms (“SOW”) is entered into as of [DATE] (the “Effective Date”) by and between:</t>
      </r>
    </p>
    <p>
      <pPr>
        <spacing after="120" before="0" line="276"/>
      </pPr>
      <r>
        <rPr>
          <rFonts ascii="Calibri" cs="Calibri" eastAsia="Calibri" hAnsi="Calibri"/>
          <color val="404040"/>
          <sz val="21"/>
          <szCs val="21"/>
        </rPr>
        <t xml:space="preserve"/>
      </r>
      <r>
        <rPr>
          <rFonts ascii="Calibri" cs="Calibri" eastAsia="Calibri" hAnsi="Calibri"/>
          <b/>
          <bCs/>
          <color val="404040"/>
          <sz val="21"/>
          <szCs val="21"/>
        </rPr>
        <t xml:space="preserve">[YOUR ORGANIZATION NAME]</t>
      </r>
      <r>
        <rPr>
          <rFonts ascii="Calibri" cs="Calibri" eastAsia="Calibri" hAnsi="Calibri"/>
          <color val="404040"/>
          <sz val="21"/>
          <szCs val="21"/>
        </rPr>
        <t xml:space="preserve"> (“Provider”), with principal offices at [ADDRESS],</t>
      </r>
    </p>
    <p>
      <pPr>
        <spacing after="120" before="0" line="276"/>
      </pPr>
      <r>
        <rPr>
          <rFonts ascii="Calibri" cs="Calibri" eastAsia="Calibri" hAnsi="Calibri"/>
          <color val="404040"/>
          <sz val="21"/>
          <szCs val="21"/>
        </rPr>
        <t xml:space="preserve">and</t>
      </r>
    </p>
    <p>
      <pPr>
        <spacing after="120" before="0" line="276"/>
      </pPr>
      <r>
        <rPr>
          <rFonts ascii="Calibri" cs="Calibri" eastAsia="Calibri" hAnsi="Calibri"/>
          <color val="404040"/>
          <sz val="21"/>
          <szCs val="21"/>
        </rPr>
        <t xml:space="preserve"/>
      </r>
      <r>
        <rPr>
          <rFonts ascii="Calibri" cs="Calibri" eastAsia="Calibri" hAnsi="Calibri"/>
          <b/>
          <bCs/>
          <color val="404040"/>
          <sz val="21"/>
          <szCs val="21"/>
        </rPr>
        <t xml:space="preserve">[CLIENT ORGANIZATION NAME]</t>
      </r>
      <r>
        <rPr>
          <rFonts ascii="Calibri" cs="Calibri" eastAsia="Calibri" hAnsi="Calibri"/>
          <color val="404040"/>
          <sz val="21"/>
          <szCs val="21"/>
        </rPr>
        <t xml:space="preserve"> (“Client”), with principal offices at [ADDRESS]</t>
      </r>
    </p>
    <p>
      <pPr>
        <spacing after="120" before="0" line="276"/>
      </pPr>
      <r>
        <rPr>
          <rFonts ascii="Calibri" cs="Calibri" eastAsia="Calibri" hAnsi="Calibri"/>
          <color val="404040"/>
          <sz val="21"/>
          <szCs val="21"/>
        </rPr>
        <t xml:space="preserve">(each a “Party” and collectively the “Parties”).</t>
      </r>
    </p>
    <p>
      <pPr>
        <spacing after="120" before="0" line="276"/>
      </pPr>
      <r>
        <rPr>
          <rFonts ascii="Calibri" cs="Calibri" eastAsia="Calibri" hAnsi="Calibri"/>
          <color val="404040"/>
          <sz val="21"/>
          <szCs val="21"/>
        </rPr>
        <t xml:space="preserve">This single instrument combines the statement of work, the engagement terms, and, as Exhibit A, the Cancellation and Rescheduling Policy for a Business Resilience Pulse Check engagement.</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2E74B5" sz="24"/>
              <bottom val="none" color="FFFFFF" sz="0"/>
              <right val="none" color="FFFFFF" sz="0"/>
            </tcBorders>
            <shd fill="DEEBF7" val="clear"/>
            <tcMar>
              <top type="dxa" w="100"/>
              <left type="dxa" w="160"/>
              <bottom type="dxa" w="100"/>
              <right type="dxa" w="160"/>
            </tcMar>
          </tcPr>
          <p>
            <pPr>
              <spacing after="60"/>
            </pPr>
            <r>
              <rPr>
                <rFonts ascii="Calibri" cs="Calibri" eastAsia="Calibri" hAnsi="Calibri"/>
                <b/>
                <bCs/>
                <color val="2E74B5"/>
                <sz val="20"/>
                <szCs val="20"/>
              </rPr>
              <t xml:space="preserve">✎  CUSTOMIZE: Party details</t>
            </r>
          </p>
          <p>
            <pPr>
              <spacing after="40" before="0" line="276"/>
            </pPr>
            <r>
              <rPr>
                <rFonts ascii="Calibri" cs="Calibri" eastAsia="Calibri" hAnsi="Calibri"/>
                <color val="404040"/>
                <sz val="20"/>
                <szCs val="20"/>
              </rPr>
              <t xml:space="preserve">Insert your organization's name, the client's name, and an engagement reference number. Confirm the entity names match those on the Mutual Non-Disclosure Agreement (02 - Contract folder).</t>
            </r>
          </p>
        </tc>
      </tr>
    </tbl>
    <p>
      <pPr>
        <spacing after="80"/>
      </pP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1F3864" sz="24"/>
              <bottom val="none" color="FFFFFF" sz="0"/>
              <right val="none" color="FFFFFF" sz="0"/>
            </tcBorders>
            <shd fill="EDF2F9" val="clear"/>
            <tcMar>
              <top type="dxa" w="100"/>
              <left type="dxa" w="160"/>
              <bottom type="dxa" w="100"/>
              <right type="dxa" w="160"/>
            </tcMar>
          </tcPr>
          <p>
            <pPr>
              <spacing after="60"/>
            </pPr>
            <r>
              <rPr>
                <rFonts ascii="Calibri" cs="Calibri" eastAsia="Calibri" hAnsi="Calibri"/>
                <b/>
                <bCs/>
                <color val="1F3864"/>
                <sz val="20"/>
                <szCs val="20"/>
              </rPr>
              <t xml:space="preserve">ℹ  GUIDANCE: Master services agreement</t>
            </r>
          </p>
          <p>
            <pPr>
              <spacing after="40" before="0" line="276"/>
            </pPr>
            <r>
              <rPr>
                <rFonts ascii="Calibri" cs="Calibri" eastAsia="Calibri" hAnsi="Calibri"/>
                <color val="404040"/>
                <sz val="20"/>
                <szCs val="20"/>
              </rPr>
              <t xml:space="preserve">If this SOW operates under an existing master services agreement between the parties, add: “This SOW is issued pursuant to the Master Services Agreement dated [DATE] between Provider and Client. In the event of conflict between this SOW and that agreement, the master agreement governs unless this SOW explicitly states otherwise.”</t>
            </r>
          </p>
        </tc>
      </tr>
    </tbl>
    <p>
      <pPr>
        <pStyle val="Heading2"/>
        <keepNext/>
        <spacing after="110" before="240"/>
      </pPr>
      <r>
        <rPr>
          <rFonts ascii="Calibri" cs="Calibri" eastAsia="Calibri" hAnsi="Calibri"/>
          <b/>
          <bCs/>
          <color val="2E74B5"/>
          <sz val="25"/>
          <szCs val="25"/>
        </rPr>
        <t xml:space="preserve">1. Parties and Engagement Overview</t>
      </r>
    </p>
    <p>
      <pPr>
        <spacing after="120" before="0" line="276"/>
      </pPr>
      <r>
        <rPr>
          <rFonts ascii="Calibri" cs="Calibri" eastAsia="Calibri" hAnsi="Calibri"/>
          <color val="404040"/>
          <sz val="21"/>
          <szCs val="21"/>
        </rPr>
        <t xml:space="preserve">1.1 The Parties identified above enter into this SOW for the delivery of a Business Resilience Pulse Check (the “Exercise”): a facilitated, discussion-based tabletop exercise that examines how Client's leadership and cross-functional teams would coordinate, decide, and communicate during a significant business disruption.</t>
      </r>
    </p>
    <p>
      <pPr>
        <spacing after="120" before="0" line="276"/>
      </pPr>
      <r>
        <rPr>
          <rFonts ascii="Calibri" cs="Calibri" eastAsia="Calibri" hAnsi="Calibri"/>
          <color val="404040"/>
          <sz val="21"/>
          <szCs val="21"/>
        </rPr>
        <t xml:space="preserve">1.2 Provider shall design, deliver, and evaluate the Exercise using a methodology aligned to the Homeland Security Exercise and Evaluation Program (HSEEP). The Exercise tests Client's business resilience capabilities through facilitated, scenario-driven discussion; it is not a technical test or live simulation.</t>
      </r>
    </p>
    <p>
      <pPr>
        <spacing after="120" before="0" line="276"/>
      </pPr>
      <r>
        <rPr>
          <rFonts ascii="Calibri" cs="Calibri" eastAsia="Calibri" hAnsi="Calibri"/>
          <color val="404040"/>
          <sz val="21"/>
          <szCs val="21"/>
        </rPr>
        <t xml:space="preserve">1.3 The Exercise shall be delivered by a two-person team: one lead facilitator, who guides the scenario and discussion, and one dedicated observer, who documents discussion, decisions, and observations for the After-Action Report (“AAR”). The dedicated observer is a mandatory element of the delivery model and shall not be waived.</t>
      </r>
    </p>
    <p>
      <pPr>
        <spacing after="120" before="0" line="276"/>
      </pPr>
      <r>
        <rPr>
          <rFonts ascii="Calibri" cs="Calibri" eastAsia="Calibri" hAnsi="Calibri"/>
          <color val="404040"/>
          <sz val="21"/>
          <szCs val="21"/>
        </rPr>
        <t xml:space="preserve">1.4 The Business Resilience Pulse Check is a single, fixed-scope offering: one 2–3 hour discussion-based session for 8–15 cross-functional participants, preceded by a planning cycle of approximately 4–6 weeks.</t>
      </r>
    </p>
    <p>
      <pPr>
        <pStyle val="Heading2"/>
        <keepNext/>
        <spacing after="110" before="240"/>
      </pPr>
      <r>
        <rPr>
          <rFonts ascii="Calibri" cs="Calibri" eastAsia="Calibri" hAnsi="Calibri"/>
          <b/>
          <bCs/>
          <color val="2E74B5"/>
          <sz val="25"/>
          <szCs val="25"/>
        </rPr>
        <t xml:space="preserve">2. Scope of Services</t>
      </r>
    </p>
    <p>
      <pPr>
        <pStyle val="Heading3"/>
        <keepNext/>
        <spacing after="90" before="200"/>
      </pPr>
      <r>
        <rPr>
          <rFonts ascii="Calibri" cs="Calibri" eastAsia="Calibri" hAnsi="Calibri"/>
          <b/>
          <bCs/>
          <color val="1F3864"/>
          <sz val="22"/>
          <szCs val="22"/>
        </rPr>
        <t xml:space="preserve">2.1 Pre-Exercise Planning</t>
      </r>
    </p>
    <p>
      <pPr>
        <spacing after="120" before="0" line="276"/>
      </pPr>
      <r>
        <rPr>
          <rFonts ascii="Calibri" cs="Calibri" eastAsia="Calibri" hAnsi="Calibri"/>
          <color val="404040"/>
          <sz val="21"/>
          <szCs val="21"/>
        </rPr>
        <t xml:space="preserve">Provider shall conduct a client intake assessment using the Client Intake Packet (03 - Plan folder), develop exercise objectives in consultation with Client, select and customize an appropriate scenario, develop all exercise materials, and coordinate logistics. The planning phase shall include [1–2] planning meeting(s) with Client's designated Exercise Coordinator.</t>
      </r>
    </p>
    <p>
      <pPr>
        <pStyle val="Heading3"/>
        <keepNext/>
        <spacing after="90" before="200"/>
      </pPr>
      <r>
        <rPr>
          <rFonts ascii="Calibri" cs="Calibri" eastAsia="Calibri" hAnsi="Calibri"/>
          <b/>
          <bCs/>
          <color val="1F3864"/>
          <sz val="22"/>
          <szCs val="22"/>
        </rPr>
        <t xml:space="preserve">2.2 Exercise Delivery</t>
      </r>
    </p>
    <p>
      <pPr>
        <spacing after="120" before="0" line="276"/>
      </pPr>
      <r>
        <rPr>
          <rFonts ascii="Calibri" cs="Calibri" eastAsia="Calibri" hAnsi="Calibri"/>
          <color val="404040"/>
          <sz val="21"/>
          <szCs val="21"/>
        </rPr>
        <t xml:space="preserve">Provider shall facilitate a single 2–3 hour discussion-based tabletop exercise at [Client's facility / on the virtual platform designated in Section 3 / to be determined]. The delivery team shall consist of one lead facilitator and one dedicated observer, as described in Section 1.3.</t>
      </r>
    </p>
    <p>
      <pPr>
        <pStyle val="Heading3"/>
        <keepNext/>
        <spacing after="90" before="200"/>
      </pPr>
      <r>
        <rPr>
          <rFonts ascii="Calibri" cs="Calibri" eastAsia="Calibri" hAnsi="Calibri"/>
          <b/>
          <bCs/>
          <color val="1F3864"/>
          <sz val="22"/>
          <szCs val="22"/>
        </rPr>
        <t xml:space="preserve">2.3 Post-Exercise Deliverables</t>
      </r>
    </p>
    <p>
      <pPr>
        <spacing after="120" before="0" line="276"/>
      </pPr>
      <r>
        <rPr>
          <rFonts ascii="Calibri" cs="Calibri" eastAsia="Calibri" hAnsi="Calibri"/>
          <color val="404040"/>
          <sz val="21"/>
          <szCs val="21"/>
        </rPr>
        <t xml:space="preserve">Provider shall deliver the following:</t>
      </r>
    </p>
    <p>
      <pPr>
        <pStyle val="ListParagraph"/>
        <numPr>
          <ilvl val="0"/>
          <numId val="2"/>
        </numPr>
        <spacing after="80" line="276"/>
      </pPr>
      <r>
        <rPr>
          <rFonts ascii="Calibri" cs="Calibri" eastAsia="Calibri" hAnsi="Calibri"/>
          <color val="404040"/>
          <sz val="21"/>
          <szCs val="21"/>
        </rPr>
        <t xml:space="preserve"/>
      </r>
      <r>
        <rPr>
          <rFonts ascii="Calibri" cs="Calibri" eastAsia="Calibri" hAnsi="Calibri"/>
          <b/>
          <bCs/>
          <color val="404040"/>
          <sz val="21"/>
          <szCs val="21"/>
        </rPr>
        <t xml:space="preserve">Pulse Check After-Action Report (AAR)</t>
      </r>
      <r>
        <rPr>
          <rFonts ascii="Calibri" cs="Calibri" eastAsia="Calibri" hAnsi="Calibri"/>
          <color val="404040"/>
          <sz val="21"/>
          <szCs val="21"/>
        </rPr>
        <t xml:space="preserve">, including a findings matrix with severity ratings and remediation recommendations, a prioritized remediation roadmap organized by timeframe, and an Improvement Plan appendix</t>
      </r>
    </p>
    <p>
      <pPr>
        <pStyle val="ListParagraph"/>
        <numPr>
          <ilvl val="0"/>
          <numId val="2"/>
        </numPr>
        <spacing after="80" line="276"/>
      </pPr>
      <r>
        <rPr>
          <rFonts ascii="Calibri" cs="Calibri" eastAsia="Calibri" hAnsi="Calibri"/>
          <color val="404040"/>
          <sz val="21"/>
          <szCs val="21"/>
        </rPr>
        <t xml:space="preserve"/>
      </r>
      <r>
        <rPr>
          <rFonts ascii="Calibri" cs="Calibri" eastAsia="Calibri" hAnsi="Calibri"/>
          <b/>
          <bCs/>
          <color val="404040"/>
          <sz val="21"/>
          <szCs val="21"/>
        </rPr>
        <t xml:space="preserve">Executive Summary</t>
      </r>
      <r>
        <rPr>
          <rFonts ascii="Calibri" cs="Calibri" eastAsia="Calibri" hAnsi="Calibri"/>
          <color val="404040"/>
          <sz val="21"/>
          <szCs val="21"/>
        </rPr>
        <t xml:space="preserve">: a concise briefing suitable for board or executive distribution</t>
      </r>
    </p>
    <p>
      <pPr>
        <pStyle val="ListParagraph"/>
        <numPr>
          <ilvl val="0"/>
          <numId val="2"/>
        </numPr>
        <spacing after="80" line="276"/>
      </pPr>
      <r>
        <rPr>
          <rFonts ascii="Calibri" cs="Calibri" eastAsia="Calibri" hAnsi="Calibri"/>
          <color val="404040"/>
          <sz val="21"/>
          <szCs val="21"/>
        </rPr>
        <t xml:space="preserve"/>
      </r>
      <r>
        <rPr>
          <rFonts ascii="Calibri" cs="Calibri" eastAsia="Calibri" hAnsi="Calibri"/>
          <b/>
          <bCs/>
          <color val="404040"/>
          <sz val="21"/>
          <szCs val="21"/>
        </rPr>
        <t xml:space="preserve">Compliance Evidence Package</t>
      </r>
      <r>
        <rPr>
          <rFonts ascii="Calibri" cs="Calibri" eastAsia="Calibri" hAnsi="Calibri"/>
          <color val="404040"/>
          <sz val="21"/>
          <szCs val="21"/>
        </rPr>
        <t xml:space="preserve">: documentation of exercise completion suitable for audit and regulatory purposes</t>
      </r>
    </p>
    <p>
      <pPr>
        <pStyle val="ListParagraph"/>
        <numPr>
          <ilvl val="0"/>
          <numId val="2"/>
        </numPr>
        <spacing after="80" line="276"/>
      </pPr>
      <r>
        <rPr>
          <rFonts ascii="Calibri" cs="Calibri" eastAsia="Calibri" hAnsi="Calibri"/>
          <color val="404040"/>
          <sz val="21"/>
          <szCs val="21"/>
        </rPr>
        <t xml:space="preserve"/>
      </r>
      <r>
        <rPr>
          <rFonts ascii="Calibri" cs="Calibri" eastAsia="Calibri" hAnsi="Calibri"/>
          <b/>
          <bCs/>
          <color val="404040"/>
          <sz val="21"/>
          <szCs val="21"/>
        </rPr>
        <t xml:space="preserve">Improvement Plan Tracker</t>
      </r>
      <r>
        <rPr>
          <rFonts ascii="Calibri" cs="Calibri" eastAsia="Calibri" hAnsi="Calibri"/>
          <color val="404040"/>
          <sz val="21"/>
          <szCs val="21"/>
        </rPr>
        <t xml:space="preserve">: an Excel (.xlsx) workbook for tracking remediation actions, owners, and due dates after the engagement</t>
      </r>
    </p>
    <p>
      <pPr>
        <spacing after="120" before="0" line="276"/>
      </pPr>
      <r>
        <rPr>
          <rFonts ascii="Calibri" cs="Calibri" eastAsia="Calibri" hAnsi="Calibri"/>
          <color val="404040"/>
          <sz val="21"/>
          <szCs val="21"/>
        </rPr>
        <t xml:space="preserve">One (1) revision round on the draft AAR is included, on the schedule described in Section 4.</t>
      </r>
    </p>
    <p>
      <pPr>
        <spacing after="120" before="0" line="276"/>
      </pPr>
      <r>
        <rPr>
          <rFonts ascii="Calibri" cs="Calibri" eastAsia="Calibri" hAnsi="Calibri"/>
          <color val="404040"/>
          <sz val="21"/>
          <szCs val="21"/>
        </rPr>
        <t xml:space="preserve"/>
      </r>
      <r>
        <rPr>
          <rFonts ascii="Calibri" cs="Calibri" eastAsia="Calibri" hAnsi="Calibri"/>
          <b/>
          <bCs/>
          <color val="404040"/>
          <sz val="21"/>
          <szCs val="21"/>
        </rPr>
        <t xml:space="preserve">Scope limitation.</t>
      </r>
      <r>
        <rPr>
          <rFonts ascii="Calibri" cs="Calibri" eastAsia="Calibri" hAnsi="Calibri"/>
          <color val="404040"/>
          <sz val="21"/>
          <szCs val="21"/>
        </rPr>
        <t xml:space="preserve"> The AAR samples organizational resilience through a single scenario lens and does not evaluate the full breadth of Client's technology, administrative, and operations stack. Deliverables should be read as a structured snapshot of readiness under the exercised scenario, not as a comprehensive assessment.</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1F3864" sz="24"/>
              <bottom val="none" color="FFFFFF" sz="0"/>
              <right val="none" color="FFFFFF" sz="0"/>
            </tcBorders>
            <shd fill="EDF2F9" val="clear"/>
            <tcMar>
              <top type="dxa" w="100"/>
              <left type="dxa" w="160"/>
              <bottom type="dxa" w="100"/>
              <right type="dxa" w="160"/>
            </tcMar>
          </tcPr>
          <p>
            <pPr>
              <spacing after="60"/>
            </pPr>
            <r>
              <rPr>
                <rFonts ascii="Calibri" cs="Calibri" eastAsia="Calibri" hAnsi="Calibri"/>
                <b/>
                <bCs/>
                <color val="1F3864"/>
                <sz val="20"/>
                <szCs val="20"/>
              </rPr>
              <t xml:space="preserve">ℹ  GUIDANCE: Producing the deliverables</t>
            </r>
          </p>
          <p>
            <pPr>
              <spacing after="40" before="0" line="276"/>
            </pPr>
            <r>
              <rPr>
                <rFonts ascii="Calibri" cs="Calibri" eastAsia="Calibri" hAnsi="Calibri"/>
                <color val="404040"/>
                <sz val="20"/>
                <szCs val="20"/>
              </rPr>
              <t xml:space="preserve">Produce the AAR from the Pulse Check AAR Template (06 - Report folder); the findings matrix, remediation roadmap, and Improvement Plan appendix are built into that template. Keep the scope-limitation sentence in the executed SOW: it sets accurate expectations and protects you if a later incident touches an area the scenario never exercised.</t>
            </r>
          </p>
        </tc>
      </tr>
    </tbl>
    <p>
      <pPr>
        <pStyle val="Heading3"/>
        <keepNext/>
        <spacing after="90" before="200"/>
      </pPr>
      <r>
        <rPr>
          <rFonts ascii="Calibri" cs="Calibri" eastAsia="Calibri" hAnsi="Calibri"/>
          <b/>
          <bCs/>
          <color val="1F3864"/>
          <sz val="22"/>
          <szCs val="22"/>
        </rPr>
        <t xml:space="preserve">2.4 Out-of-Scope Requests</t>
      </r>
    </p>
    <p>
      <pPr>
        <spacing after="120" before="0" line="276"/>
      </pPr>
      <r>
        <rPr>
          <rFonts ascii="Calibri" cs="Calibri" eastAsia="Calibri" hAnsi="Calibri"/>
          <color val="404040"/>
          <sz val="21"/>
          <szCs val="21"/>
        </rPr>
        <t xml:space="preserve">Provider's obligations under this SOW are limited to the services expressly described herein. Any additional services requested by Client shall be documented in a separate SOW or a written change order.</t>
      </r>
    </p>
    <p>
      <pPr>
        <pStyle val="Heading2"/>
        <keepNext/>
        <spacing after="110" before="240"/>
      </pPr>
      <r>
        <rPr>
          <rFonts ascii="Calibri" cs="Calibri" eastAsia="Calibri" hAnsi="Calibri"/>
          <b/>
          <bCs/>
          <color val="2E74B5"/>
          <sz val="25"/>
          <szCs val="25"/>
        </rPr>
        <t xml:space="preserve">3. Exercise Specifications</t>
      </r>
    </p>
    <tbl>
      <tblPr>
        <tblW type="dxa" w="9360"/>
        <tblBorders>
          <top val="single" color="BFBFBF" sz="4"/>
          <left val="single" color="BFBFBF" sz="4"/>
          <bottom val="single" color="BFBFBF" sz="4"/>
          <right val="single" color="BFBFBF" sz="4"/>
          <insideH val="single" color="BFBFBF" sz="4"/>
          <insideV val="single" color="BFBFBF" sz="4"/>
        </tblBorders>
      </tblPr>
      <tblGrid>
        <gridCol w="3100"/>
        <gridCol w="6260"/>
      </tblGrid>
      <tr>
        <trPr>
          <tblHeader/>
        </trPr>
        <tc>
          <tcPr>
            <tcW type="dxa" w="310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Field</t>
            </r>
          </p>
        </tc>
        <tc>
          <tcPr>
            <tcW type="dxa" w="626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Detail</t>
            </r>
          </p>
        </tc>
      </tr>
      <tr>
        <tc>
          <tcPr>
            <tcW type="dxa" w="31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Scenario category</t>
            </r>
          </p>
        </tc>
        <tc>
          <tcPr>
            <tcW type="dxa" w="62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[Operational disruption / Key person loss / Critical vendor failure / Facility or utility outage / Other]</t>
            </r>
          </p>
        </tc>
      </tr>
      <tr>
        <tc>
          <tcPr>
            <tcW type="dxa" w="31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Industry customization</t>
            </r>
          </p>
        </tc>
        <tc>
          <tcPr>
            <tcW type="dxa" w="626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[Healthcare / Financial services / Manufacturing / Professional services / General]</t>
            </r>
          </p>
        </tc>
      </tr>
      <tr>
        <tc>
          <tcPr>
            <tcW type="dxa" w="31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Duration</t>
            </r>
          </p>
        </tc>
        <tc>
          <tcPr>
            <tcW type="dxa" w="62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2–3 hours (single session)</t>
            </r>
          </p>
        </tc>
      </tr>
      <tr>
        <tc>
          <tcPr>
            <tcW type="dxa" w="31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Delivery format</t>
            </r>
          </p>
        </tc>
        <tc>
          <tcPr>
            <tcW type="dxa" w="626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[In-person at Client facility / Virtual / Hybrid]</t>
            </r>
          </p>
        </tc>
      </tr>
      <tr>
        <tc>
          <tcPr>
            <tcW type="dxa" w="31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Expected participants</t>
            </r>
          </p>
        </tc>
        <tc>
          <tcPr>
            <tcW type="dxa" w="62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[8–15] cross-functional participants from [FUNCTIONAL AREAS]</t>
            </r>
          </p>
        </tc>
      </tr>
      <tr>
        <tc>
          <tcPr>
            <tcW type="dxa" w="31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Planning meetings</t>
            </r>
          </p>
        </tc>
        <tc>
          <tcPr>
            <tcW type="dxa" w="626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[1–2] meetings via [video conference / in person]</t>
            </r>
          </p>
        </tc>
      </tr>
      <tr>
        <tc>
          <tcPr>
            <tcW type="dxa" w="31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AAR revision rounds</t>
            </r>
          </p>
        </tc>
        <tc>
          <tcPr>
            <tcW type="dxa" w="62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One (1)</t>
            </r>
          </p>
        </tc>
      </tr>
    </tbl>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2E74B5" sz="24"/>
              <bottom val="none" color="FFFFFF" sz="0"/>
              <right val="none" color="FFFFFF" sz="0"/>
            </tcBorders>
            <shd fill="DEEBF7" val="clear"/>
            <tcMar>
              <top type="dxa" w="100"/>
              <left type="dxa" w="160"/>
              <bottom type="dxa" w="100"/>
              <right type="dxa" w="160"/>
            </tcMar>
          </tcPr>
          <p>
            <pPr>
              <spacing after="60"/>
            </pPr>
            <r>
              <rPr>
                <rFonts ascii="Calibri" cs="Calibri" eastAsia="Calibri" hAnsi="Calibri"/>
                <b/>
                <bCs/>
                <color val="2E74B5"/>
                <sz val="20"/>
                <szCs val="20"/>
              </rPr>
              <t xml:space="preserve">✎  CUSTOMIZE: Specifications</t>
            </r>
          </p>
          <p>
            <pPr>
              <spacing after="40" before="0" line="276"/>
            </pPr>
            <r>
              <rPr>
                <rFonts ascii="Calibri" cs="Calibri" eastAsia="Calibri" hAnsi="Calibri"/>
                <color val="404040"/>
                <sz val="20"/>
                <szCs val="20"/>
              </rPr>
              <t xml:space="preserve">Complete this table with Client during planning. Scenario selection and customization guidance, including the participant-composition worksheet, is in the Planning Workbook (03 - Plan folder).</t>
            </r>
          </p>
        </tc>
      </tr>
    </tbl>
    <p>
      <pPr>
        <pStyle val="Heading2"/>
        <keepNext/>
        <spacing after="110" before="240"/>
      </pPr>
      <r>
        <rPr>
          <rFonts ascii="Calibri" cs="Calibri" eastAsia="Calibri" hAnsi="Calibri"/>
          <b/>
          <bCs/>
          <color val="2E74B5"/>
          <sz val="25"/>
          <szCs val="25"/>
        </rPr>
        <t xml:space="preserve">4. Timeline</t>
      </r>
    </p>
    <p>
      <pPr>
        <spacing after="120" before="0" line="276"/>
      </pPr>
      <r>
        <rPr>
          <rFonts ascii="Calibri" cs="Calibri" eastAsia="Calibri" hAnsi="Calibri"/>
          <color val="404040"/>
          <sz val="21"/>
          <szCs val="21"/>
        </rPr>
        <t xml:space="preserve">4.1 The engagement shall follow the timeline below, beginning on the Effective Date:</t>
      </r>
    </p>
    <tbl>
      <tblPr>
        <tblW type="dxa" w="9360"/>
        <tblBorders>
          <top val="single" color="BFBFBF" sz="4"/>
          <left val="single" color="BFBFBF" sz="4"/>
          <bottom val="single" color="BFBFBF" sz="4"/>
          <right val="single" color="BFBFBF" sz="4"/>
          <insideH val="single" color="BFBFBF" sz="4"/>
          <insideV val="single" color="BFBFBF" sz="4"/>
        </tblBorders>
      </tblPr>
      <tblGrid>
        <gridCol w="4000"/>
        <gridCol w="3000"/>
        <gridCol w="2360"/>
      </tblGrid>
      <tr>
        <trPr>
          <tblHeader/>
        </trPr>
        <tc>
          <tcPr>
            <tcW type="dxa" w="400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Phase</t>
            </r>
          </p>
        </tc>
        <tc>
          <tcPr>
            <tcW type="dxa" w="300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Timing</t>
            </r>
          </p>
        </tc>
        <tc>
          <tcPr>
            <tcW type="dxa" w="236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Target Date</t>
            </r>
          </p>
        </tc>
      </tr>
      <tr>
        <tc>
          <tcPr>
            <tcW type="dxa" w="40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Kickoff and intake assessment</t>
            </r>
          </p>
        </tc>
        <tc>
          <tcPr>
            <tcW type="dxa" w="30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Week 1</t>
            </r>
          </p>
        </tc>
        <tc>
          <tcPr>
            <tcW type="dxa" w="23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[DATE]</t>
            </r>
          </p>
        </tc>
      </tr>
      <tr>
        <tc>
          <tcPr>
            <tcW type="dxa" w="40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Planning meeting(s)</t>
            </r>
          </p>
        </tc>
        <tc>
          <tcPr>
            <tcW type="dxa" w="30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Weeks 1–2</t>
            </r>
          </p>
        </tc>
        <tc>
          <tcPr>
            <tcW type="dxa" w="236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[DATE]</t>
            </r>
          </p>
        </tc>
      </tr>
      <tr>
        <tc>
          <tcPr>
            <tcW type="dxa" w="40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Scenario development and customization</t>
            </r>
          </p>
        </tc>
        <tc>
          <tcPr>
            <tcW type="dxa" w="30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Weeks 2–4</t>
            </r>
          </p>
        </tc>
        <tc>
          <tcPr>
            <tcW type="dxa" w="23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[DATE]</t>
            </r>
          </p>
        </tc>
      </tr>
      <tr>
        <tc>
          <tcPr>
            <tcW type="dxa" w="40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Materials finalization and logistics confirmation</t>
            </r>
          </p>
        </tc>
        <tc>
          <tcPr>
            <tcW type="dxa" w="30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Week 4</t>
            </r>
          </p>
        </tc>
        <tc>
          <tcPr>
            <tcW type="dxa" w="236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[DATE]</t>
            </r>
          </p>
        </tc>
      </tr>
      <tr>
        <tc>
          <tcPr>
            <tcW type="dxa" w="40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Exercise delivery</t>
            </r>
          </p>
        </tc>
        <tc>
          <tcPr>
            <tcW type="dxa" w="30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Scheduled exercise date</t>
            </r>
          </p>
        </tc>
        <tc>
          <tcPr>
            <tcW type="dxa" w="23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[DATE]</t>
            </r>
          </p>
        </tc>
      </tr>
      <tr>
        <tc>
          <tcPr>
            <tcW type="dxa" w="40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Draft AAR delivery</t>
            </r>
          </p>
        </tc>
        <tc>
          <tcPr>
            <tcW type="dxa" w="30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15 business days post-exercise</t>
            </r>
          </p>
        </tc>
        <tc>
          <tcPr>
            <tcW type="dxa" w="236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[DATE]</t>
            </r>
          </p>
        </tc>
      </tr>
      <tr>
        <tc>
          <tcPr>
            <tcW type="dxa" w="40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Client review period (one revision round)</t>
            </r>
          </p>
        </tc>
        <tc>
          <tcPr>
            <tcW type="dxa" w="30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15 business days from draft delivery</t>
            </r>
          </p>
        </tc>
        <tc>
          <tcPr>
            <tcW type="dxa" w="23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[DATE]</t>
            </r>
          </p>
        </tc>
      </tr>
      <tr>
        <tc>
          <tcPr>
            <tcW type="dxa" w="40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Final AAR delivery</t>
            </r>
          </p>
        </tc>
        <tc>
          <tcPr>
            <tcW type="dxa" w="30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30 business days post-exercise</t>
            </r>
          </p>
        </tc>
        <tc>
          <tcPr>
            <tcW type="dxa" w="236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[DATE]</t>
            </r>
          </p>
        </tc>
      </tr>
    </tbl>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1F3864" sz="24"/>
              <bottom val="none" color="FFFFFF" sz="0"/>
              <right val="none" color="FFFFFF" sz="0"/>
            </tcBorders>
            <shd fill="EDF2F9" val="clear"/>
            <tcMar>
              <top type="dxa" w="100"/>
              <left type="dxa" w="160"/>
              <bottom type="dxa" w="100"/>
              <right type="dxa" w="160"/>
            </tcMar>
          </tcPr>
          <p>
            <pPr>
              <spacing after="60"/>
            </pPr>
            <r>
              <rPr>
                <rFonts ascii="Calibri" cs="Calibri" eastAsia="Calibri" hAnsi="Calibri"/>
                <b/>
                <bCs/>
                <color val="1F3864"/>
                <sz val="20"/>
                <szCs val="20"/>
              </rPr>
              <t xml:space="preserve">ℹ  GUIDANCE: Timeline</t>
            </r>
          </p>
          <p>
            <pPr>
              <spacing after="40" before="0" line="276"/>
            </pPr>
            <r>
              <rPr>
                <rFonts ascii="Calibri" cs="Calibri" eastAsia="Calibri" hAnsi="Calibri"/>
                <color val="404040"/>
                <sz val="20"/>
                <szCs val="20"/>
              </rPr>
              <t xml:space="preserve">The Pulse Check planning cycle typically runs 4–6 weeks from kickoff to exercise delivery. Build in buffer for Client responsiveness on the Client Intake Packet and documentation requests. If Client's review comments arrive after the 15-business-day review window, the final AAR date shifts day-for-day.</t>
            </r>
          </p>
        </tc>
      </tr>
    </tbl>
    <p>
      <pPr>
        <pStyle val="Heading2"/>
        <keepNext/>
        <spacing after="110" before="240"/>
      </pPr>
      <r>
        <rPr>
          <rFonts ascii="Calibri" cs="Calibri" eastAsia="Calibri" hAnsi="Calibri"/>
          <b/>
          <bCs/>
          <color val="2E74B5"/>
          <sz val="25"/>
          <szCs val="25"/>
        </rPr>
        <t xml:space="preserve">5. Client Responsibilities</t>
      </r>
    </p>
    <p>
      <pPr>
        <spacing after="120" before="0" line="276"/>
      </pPr>
      <r>
        <rPr>
          <rFonts ascii="Calibri" cs="Calibri" eastAsia="Calibri" hAnsi="Calibri"/>
          <color val="404040"/>
          <sz val="21"/>
          <szCs val="21"/>
        </rPr>
        <t xml:space="preserve">5.1 Client shall designate a single point of contact (the “Exercise Coordinator”) with authority to make decisions regarding exercise scope, scheduling, and participant selection.</t>
      </r>
    </p>
    <p>
      <pPr>
        <spacing after="120" before="0" line="276"/>
      </pPr>
      <r>
        <rPr>
          <rFonts ascii="Calibri" cs="Calibri" eastAsia="Calibri" hAnsi="Calibri"/>
          <color val="404040"/>
          <sz val="21"/>
          <szCs val="21"/>
        </rPr>
        <t xml:space="preserve">5.2 Client shall complete and return the Client Intake Packet (03 - Plan folder) within [10] business days of receipt.</t>
      </r>
    </p>
    <p>
      <pPr>
        <spacing after="120" before="0" line="276"/>
      </pPr>
      <r>
        <rPr>
          <rFonts ascii="Calibri" cs="Calibri" eastAsia="Calibri" hAnsi="Calibri"/>
          <color val="404040"/>
          <sz val="21"/>
          <szCs val="21"/>
        </rPr>
        <t xml:space="preserve">5.3 Client shall provide the documentation requested during intake within [15] business days of the request, including but not limited to any existing incident response plan, business continuity plan, organizational chart, and relevant compliance documentation.</t>
      </r>
    </p>
    <p>
      <pPr>
        <spacing after="120" before="0" line="276"/>
      </pPr>
      <r>
        <rPr>
          <rFonts ascii="Calibri" cs="Calibri" eastAsia="Calibri" hAnsi="Calibri"/>
          <color val="404040"/>
          <sz val="21"/>
          <szCs val="21"/>
        </rPr>
        <t xml:space="preserve">5.4 Client shall ensure that designated participants are available for the full duration of the Exercise and have been informed of the exercise purpose, expectations, and confidentiality requirements prior to the exercise date.</t>
      </r>
    </p>
    <p>
      <pPr>
        <spacing after="120" before="0" line="276"/>
      </pPr>
      <r>
        <rPr>
          <rFonts ascii="Calibri" cs="Calibri" eastAsia="Calibri" hAnsi="Calibri"/>
          <color val="404040"/>
          <sz val="21"/>
          <szCs val="21"/>
        </rPr>
        <t xml:space="preserve">5.5 Client shall return the signed Client Authorization and Sign-Off (Form A of the Pre-Exercise Forms, 02 - Contract folder) at least [5] business days before the exercise date, and shall ensure that each participant completes the participant confidentiality acknowledgment (Form B of the Pre-Exercise Forms) before the Exercise begins.</t>
      </r>
    </p>
    <p>
      <pPr>
        <spacing after="120" before="0" line="276"/>
      </pPr>
      <r>
        <rPr>
          <rFonts ascii="Calibri" cs="Calibri" eastAsia="Calibri" hAnsi="Calibri"/>
          <color val="404040"/>
          <sz val="21"/>
          <szCs val="21"/>
        </rPr>
        <t xml:space="preserve">5.6 Client shall provide suitable facilities for in-person delivery, including [conference room, AV equipment, internet access, refreshments], or ensure participants have access to the designated virtual platform for virtual delivery.</t>
      </r>
    </p>
    <p>
      <pPr>
        <spacing after="120" before="0" line="276"/>
      </pPr>
      <r>
        <rPr>
          <rFonts ascii="Calibri" cs="Calibri" eastAsia="Calibri" hAnsi="Calibri"/>
          <color val="404040"/>
          <sz val="21"/>
          <szCs val="21"/>
        </rPr>
        <t xml:space="preserve">5.7 Client shall provide consolidated review comments on the draft AAR within [15] business days of receipt.</t>
      </r>
    </p>
    <p>
      <pPr>
        <pStyle val="Heading2"/>
        <keepNext/>
        <spacing after="110" before="240"/>
      </pPr>
      <r>
        <rPr>
          <rFonts ascii="Calibri" cs="Calibri" eastAsia="Calibri" hAnsi="Calibri"/>
          <b/>
          <bCs/>
          <color val="2E74B5"/>
          <sz val="25"/>
          <szCs val="25"/>
        </rPr>
        <t xml:space="preserve">6. Pricing and Payment</t>
      </r>
    </p>
    <p>
      <pPr>
        <spacing after="120" before="0" line="276"/>
      </pPr>
      <r>
        <rPr>
          <rFonts ascii="Calibri" cs="Calibri" eastAsia="Calibri" hAnsi="Calibri"/>
          <color val="404040"/>
          <sz val="21"/>
          <szCs val="21"/>
        </rPr>
        <t xml:space="preserve">6.1 The total fee for the services described in this SOW is [AMOUNT] ([AMOUNT IN WORDS] dollars), payable as follows:</t>
      </r>
    </p>
    <tbl>
      <tblPr>
        <tblW type="dxa" w="9360"/>
        <tblBorders>
          <top val="single" color="BFBFBF" sz="4"/>
          <left val="single" color="BFBFBF" sz="4"/>
          <bottom val="single" color="BFBFBF" sz="4"/>
          <right val="single" color="BFBFBF" sz="4"/>
          <insideH val="single" color="BFBFBF" sz="4"/>
          <insideV val="single" color="BFBFBF" sz="4"/>
        </tblBorders>
      </tblPr>
      <tblGrid>
        <gridCol w="2800"/>
        <gridCol w="2800"/>
        <gridCol w="3760"/>
      </tblGrid>
      <tr>
        <trPr>
          <tblHeader/>
        </trPr>
        <tc>
          <tcPr>
            <tcW type="dxa" w="280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Payment</t>
            </r>
          </p>
        </tc>
        <tc>
          <tcPr>
            <tcW type="dxa" w="280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Amount</t>
            </r>
          </p>
        </tc>
        <tc>
          <tcPr>
            <tcW type="dxa" w="376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Due</t>
            </r>
          </p>
        </tc>
      </tr>
      <tr>
        <tc>
          <tcPr>
            <tcW type="dxa" w="28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Engagement deposit</t>
            </r>
          </p>
        </tc>
        <tc>
          <tcPr>
            <tcW type="dxa" w="28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50% of the total fee</t>
            </r>
          </p>
        </tc>
        <tc>
          <tcPr>
            <tcW type="dxa" w="37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Upon execution of this SOW</t>
            </r>
          </p>
        </tc>
      </tr>
      <tr>
        <tc>
          <tcPr>
            <tcW type="dxa" w="28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Final payment</t>
            </r>
          </p>
        </tc>
        <tc>
          <tcPr>
            <tcW type="dxa" w="28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50% of the total fee</t>
            </r>
          </p>
        </tc>
        <tc>
          <tcPr>
            <tcW type="dxa" w="376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Upon delivery of the draft AAR</t>
            </r>
          </p>
        </tc>
      </tr>
    </tbl>
    <p>
      <pPr>
        <spacing after="120" before="0" line="276"/>
      </pPr>
      <r>
        <rPr>
          <rFonts ascii="Calibri" cs="Calibri" eastAsia="Calibri" hAnsi="Calibri"/>
          <color val="404040"/>
          <sz val="21"/>
          <szCs val="21"/>
        </rPr>
        <t xml:space="preserve">6.2 </t>
      </r>
      <r>
        <rPr>
          <rFonts ascii="Calibri" cs="Calibri" eastAsia="Calibri" hAnsi="Calibri"/>
          <b/>
          <bCs/>
          <color val="404040"/>
          <sz val="21"/>
          <szCs val="21"/>
        </rPr>
        <t xml:space="preserve">Travel expenses.</t>
      </r>
      <r>
        <rPr>
          <rFonts ascii="Calibri" cs="Calibri" eastAsia="Calibri" hAnsi="Calibri"/>
          <color val="404040"/>
          <sz val="21"/>
          <szCs val="21"/>
        </rPr>
        <t xml:space="preserve"> For in-person engagements requiring travel, Client shall reimburse Provider for reasonable travel expenses at cost, including transportation, lodging, and meals. Provider shall obtain Client's written approval for travel expenses exceeding [AMOUNT] prior to incurring such expenses.</t>
      </r>
    </p>
    <p>
      <pPr>
        <spacing after="120" before="0" line="276"/>
      </pPr>
      <r>
        <rPr>
          <rFonts ascii="Calibri" cs="Calibri" eastAsia="Calibri" hAnsi="Calibri"/>
          <color val="404040"/>
          <sz val="21"/>
          <szCs val="21"/>
        </rPr>
        <t xml:space="preserve">6.3 </t>
      </r>
      <r>
        <rPr>
          <rFonts ascii="Calibri" cs="Calibri" eastAsia="Calibri" hAnsi="Calibri"/>
          <b/>
          <bCs/>
          <color val="404040"/>
          <sz val="21"/>
          <szCs val="21"/>
        </rPr>
        <t xml:space="preserve">Late payment.</t>
      </r>
      <r>
        <rPr>
          <rFonts ascii="Calibri" cs="Calibri" eastAsia="Calibri" hAnsi="Calibri"/>
          <color val="404040"/>
          <sz val="21"/>
          <szCs val="21"/>
        </rPr>
        <t xml:space="preserve"> Invoices not paid within [30] days of the invoice date shall accrue interest at a rate of [1.5%] per month or the maximum rate permitted by applicable law, whichever is less.</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C00000" sz="24"/>
              <bottom val="none" color="FFFFFF" sz="0"/>
              <right val="none" color="FFFFFF" sz="0"/>
            </tcBorders>
            <shd fill="FBE4E4" val="clear"/>
            <tcMar>
              <top type="dxa" w="100"/>
              <left type="dxa" w="160"/>
              <bottom type="dxa" w="100"/>
              <right type="dxa" w="160"/>
            </tcMar>
          </tcPr>
          <p>
            <pPr>
              <spacing after="60"/>
            </pPr>
            <r>
              <rPr>
                <rFonts ascii="Calibri" cs="Calibri" eastAsia="Calibri" hAnsi="Calibri"/>
                <b/>
                <bCs/>
                <color val="C00000"/>
                <sz val="20"/>
                <szCs val="20"/>
              </rPr>
              <t xml:space="preserve">⚖  ATTORNEY REVIEW REQUIRED: Pricing and payment</t>
            </r>
          </p>
          <p>
            <pPr>
              <spacing after="40" before="0" line="276"/>
            </pPr>
            <r>
              <rPr>
                <rFonts ascii="Calibri" cs="Calibri" eastAsia="Calibri" hAnsi="Calibri"/>
                <color val="404040"/>
                <sz val="20"/>
                <szCs val="20"/>
              </rPr>
              <t xml:space="preserve">Pricing terms, payment schedules, and late-payment interest should be reviewed by counsel for compliance with local commercial law and consistency with your standard business terms.</t>
            </r>
          </p>
        </tc>
      </tr>
    </tbl>
    <p>
      <pPr>
        <spacing after="80"/>
      </pP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2E74B5" sz="24"/>
              <bottom val="none" color="FFFFFF" sz="0"/>
              <right val="none" color="FFFFFF" sz="0"/>
            </tcBorders>
            <shd fill="DEEBF7" val="clear"/>
            <tcMar>
              <top type="dxa" w="100"/>
              <left type="dxa" w="160"/>
              <bottom type="dxa" w="100"/>
              <right type="dxa" w="160"/>
            </tcMar>
          </tcPr>
          <p>
            <pPr>
              <spacing after="60"/>
            </pPr>
            <r>
              <rPr>
                <rFonts ascii="Calibri" cs="Calibri" eastAsia="Calibri" hAnsi="Calibri"/>
                <b/>
                <bCs/>
                <color val="2E74B5"/>
                <sz val="20"/>
                <szCs val="20"/>
              </rPr>
              <t xml:space="preserve">✎  CUSTOMIZE: Payment structure</t>
            </r>
          </p>
          <p>
            <pPr>
              <spacing after="40" before="0" line="276"/>
            </pPr>
            <r>
              <rPr>
                <rFonts ascii="Calibri" cs="Calibri" eastAsia="Calibri" hAnsi="Calibri"/>
                <color val="404040"/>
                <sz val="20"/>
                <szCs val="20"/>
              </rPr>
              <t xml:space="preserve">The 50/50 split (execution / draft AAR delivery) is the default for this offering. Common alternatives: 100% on execution for small fixed-fee engagements, or net-30 invoicing for established clients.</t>
            </r>
          </p>
        </tc>
      </tr>
    </tbl>
    <p>
      <pPr>
        <pStyle val="Heading2"/>
        <keepNext/>
        <spacing after="110" before="240"/>
      </pPr>
      <r>
        <rPr>
          <rFonts ascii="Calibri" cs="Calibri" eastAsia="Calibri" hAnsi="Calibri"/>
          <b/>
          <bCs/>
          <color val="2E74B5"/>
          <sz val="25"/>
          <szCs val="25"/>
        </rPr>
        <t xml:space="preserve">7. Nature of Services and Advisory Disclaimers</t>
      </r>
    </p>
    <p>
      <pPr>
        <spacing after="120" before="0" line="276"/>
      </pPr>
      <r>
        <rPr>
          <rFonts ascii="Calibri" cs="Calibri" eastAsia="Calibri" hAnsi="Calibri"/>
          <color val="404040"/>
          <sz val="21"/>
          <szCs val="21"/>
        </rPr>
        <t xml:space="preserve">7.1 Provider's services consist of designing, facilitating, and evaluating a discussion-based tabletop exercise and producing an After-Action Report with recommendations. These services are advisory and consultative in nature.</t>
      </r>
    </p>
    <p>
      <pPr>
        <spacing after="120" before="0" line="276"/>
      </pPr>
      <r>
        <rPr>
          <rFonts ascii="Calibri" cs="Calibri" eastAsia="Calibri" hAnsi="Calibri"/>
          <color val="404040"/>
          <sz val="21"/>
          <szCs val="21"/>
        </rPr>
        <t xml:space="preserve">7.2 The services do not constitute a security assessment, penetration test, vulnerability scan, compliance audit, legal opinion, or insurance evaluation. Deliverables are based on observations of participant discussions during the Exercise and should not be relied upon as a comprehensive evaluation of Client's security posture, compliance status, or resilience capabilities.</t>
      </r>
    </p>
    <p>
      <pPr>
        <pBdr>
          <top val="single" sz="4" space="1" color="FF0000"/>
          <bottom val="single" sz="4" space="1" color="FF0000"/>
        </pBdr>
        <shd val="clear" color="auto" fill="FFF2F2"/>
      </pPr>
      <r>
        <rPr>
          <b/>
          <color val="CC0000"/>
        </rPr>
        <t xml:space="preserve">⚖ CONSULT LEGAL COUNSEL: Section 7 contains the critical disclaimer that the Pulse Check is advisory only, not a security assessment, penetration test, compliance audit, legal opinion, or insurance evaluation. This is your primary defense against claims that the exercise should have identified specific vulnerabilities or guaranteed security outcomes. Have your attorney confirm this disclaimer language is enforceable in your jurisdiction and sufficient for the industries your clients operate in.</t>
      </r>
    </p>
    <p>
      <pPr>
        <spacing after="120" before="0" line="276"/>
      </pPr>
      <r>
        <rPr>
          <rFonts ascii="Calibri" cs="Calibri" eastAsia="Calibri" hAnsi="Calibri"/>
          <color val="404040"/>
          <sz val="21"/>
          <szCs val="21"/>
        </rPr>
        <t xml:space="preserve">7.3 Provider does not guarantee that implementing its recommendations will prevent security incidents, data breaches, operational disruptions, or any other adverse events. Resilience is an ongoing process affected by factors beyond the scope of this engagement.</t>
      </r>
    </p>
    <p>
      <pPr>
        <spacing after="120" before="0" line="276"/>
      </pPr>
      <r>
        <rPr>
          <rFonts ascii="Calibri" cs="Calibri" eastAsia="Calibri" hAnsi="Calibri"/>
          <color val="404040"/>
          <sz val="21"/>
          <szCs val="21"/>
        </rPr>
        <t xml:space="preserve">7.4 Client acknowledges that the Exercise tests discussion-based decision-making, not operational or technical execution, and that exercise performance may not accurately predict real-incident performance.</t>
      </r>
    </p>
    <p>
      <pPr>
        <spacing after="120" before="0" line="276"/>
      </pPr>
      <r>
        <rPr>
          <rFonts ascii="Calibri" cs="Calibri" eastAsia="Calibri" hAnsi="Calibri"/>
          <color val="404040"/>
          <sz val="21"/>
          <szCs val="21"/>
        </rPr>
        <t xml:space="preserve">7.5 Client is responsible for evaluating and implementing the recommendations contained in the AAR, and for the accuracy and completeness of all information provided to Provider during the engagement. Provider is not responsible for Client's implementation decisions, timeline, or execution.</t>
      </r>
    </p>
    <p>
      <pPr>
        <pStyle val="Heading2"/>
        <keepNext/>
        <spacing after="110" before="240"/>
      </pPr>
      <r>
        <rPr>
          <rFonts ascii="Calibri" cs="Calibri" eastAsia="Calibri" hAnsi="Calibri"/>
          <b/>
          <bCs/>
          <color val="2E74B5"/>
          <sz val="25"/>
          <szCs val="25"/>
        </rPr>
        <t xml:space="preserve">8. Limitation of Liability</t>
      </r>
    </p>
    <p>
      <pPr>
        <spacing after="120" before="0" line="276"/>
      </pPr>
      <r>
        <rPr>
          <rFonts ascii="Calibri" cs="Calibri" eastAsia="Calibri" hAnsi="Calibri"/>
          <color val="404040"/>
          <sz val="21"/>
          <szCs val="21"/>
        </rPr>
        <t xml:space="preserve">8.1 TO THE MAXIMUM EXTENT PERMITTED BY APPLICABLE LAW, AND EXCEPT AS PROVIDED IN SECTION 8.3, EACH PARTY'S TOTAL AGGREGATE LIABILITY ARISING OUT OF OR RELATED TO THIS ENGAGEMENT, WHETHER IN CONTRACT, TORT, NEGLIGENCE, STRICT LIABILITY, OR OTHERWISE, SHALL NOT EXCEED THE TOTAL FEES PAID OR PAYABLE BY CLIENT UNDER THIS SOW FOR THE ENGAGEMENT GIVING RISE TO THE CLAIM.</t>
      </r>
    </p>
    <p>
      <pPr>
        <spacing after="120" before="0" line="276"/>
      </pPr>
      <r>
        <rPr>
          <rFonts ascii="Calibri" cs="Calibri" eastAsia="Calibri" hAnsi="Calibri"/>
          <color val="404040"/>
          <sz val="21"/>
          <szCs val="21"/>
        </rPr>
        <t xml:space="preserve">8.2 IN NO EVENT SHALL EITHER PARTY BE LIABLE FOR ANY INDIRECT, INCIDENTAL, SPECIAL, CONSEQUENTIAL, PUNITIVE, OR EXEMPLARY DAMAGES, INCLUDING LOSS OF PROFITS, REVENUE, DATA, BUSINESS OPPORTUNITIES, OR GOODWILL, REGARDLESS OF WHETHER SUCH DAMAGES WERE FORESEEABLE OR A PARTY WAS ADVISED OF THEIR POSSIBILITY.</t>
      </r>
    </p>
    <p>
      <pPr>
        <spacing after="120" before="0" line="276"/>
      </pPr>
      <r>
        <rPr>
          <rFonts ascii="Calibri" cs="Calibri" eastAsia="Calibri" hAnsi="Calibri"/>
          <color val="404040"/>
          <sz val="21"/>
          <szCs val="21"/>
        </rPr>
        <t xml:space="preserve">8.3 The limitations in this Section 8 shall not apply to: (a) breaches of the Mutual Non-Disclosure Agreement between the Parties; (b) claims arising from a Party's gross negligence or willful misconduct; or (c) liabilities that cannot be limited by applicable law.</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C00000" sz="24"/>
              <bottom val="none" color="FFFFFF" sz="0"/>
              <right val="none" color="FFFFFF" sz="0"/>
            </tcBorders>
            <shd fill="FBE4E4" val="clear"/>
            <tcMar>
              <top type="dxa" w="100"/>
              <left type="dxa" w="160"/>
              <bottom type="dxa" w="100"/>
              <right type="dxa" w="160"/>
            </tcMar>
          </tcPr>
          <p>
            <pPr>
              <spacing after="60"/>
            </pPr>
            <r>
              <rPr>
                <rFonts ascii="Calibri" cs="Calibri" eastAsia="Calibri" hAnsi="Calibri"/>
                <b/>
                <bCs/>
                <color val="C00000"/>
                <sz val="20"/>
                <szCs val="20"/>
              </rPr>
              <t xml:space="preserve">⚖  ATTORNEY REVIEW REQUIRED: Limitation of liability</t>
            </r>
          </p>
          <p>
            <pPr>
              <spacing after="40" before="0" line="276"/>
            </pPr>
            <r>
              <rPr>
                <rFonts ascii="Calibri" cs="Calibri" eastAsia="Calibri" hAnsi="Calibri"/>
                <color val="404040"/>
                <sz val="20"/>
                <szCs val="20"/>
              </rPr>
              <t xml:space="preserve">This section contains the most consequential legal provisions in the engagement. Counsel must review for enforceability in the applicable jurisdiction (some jurisdictions limit liability caps), consistency with your insurance policy terms, and appropriateness for your risk tolerance. If you carry technology errors-and-omissions coverage, the liability cap should not exceed your coverage limit. Some clients negotiate a multiplier (2x or 3x fees). Treat that as a pricing decision made with counsel.</t>
            </r>
          </p>
        </tc>
      </tr>
    </tbl>
    <p>
      <pPr>
        <pStyle val="Heading2"/>
        <keepNext/>
        <spacing after="110" before="240"/>
      </pPr>
      <r>
        <rPr>
          <rFonts ascii="Calibri" cs="Calibri" eastAsia="Calibri" hAnsi="Calibri"/>
          <b/>
          <bCs/>
          <color val="2E74B5"/>
          <sz val="25"/>
          <szCs val="25"/>
        </rPr>
        <t xml:space="preserve">9. No Guarantee of Security; Warranty Disclaimer</t>
      </r>
    </p>
    <p>
      <pPr>
        <spacing after="120" before="0" line="276"/>
      </pPr>
      <r>
        <rPr>
          <rFonts ascii="Calibri" cs="Calibri" eastAsia="Calibri" hAnsi="Calibri"/>
          <color val="404040"/>
          <sz val="21"/>
          <szCs val="21"/>
        </rPr>
        <t xml:space="preserve">9.1 Client acknowledges that no exercise, assessment, or recommendation can guarantee the prevention of security incidents, data breaches, or operational disruptions. The services are designed to identify areas for improvement and strengthen Client's preparedness, not to certify or guarantee Client's security posture or resilience.</t>
      </r>
    </p>
    <p>
      <pPr>
        <spacing after="120" before="0" line="276"/>
      </pPr>
      <r>
        <rPr>
          <rFonts ascii="Calibri" cs="Calibri" eastAsia="Calibri" hAnsi="Calibri"/>
          <color val="404040"/>
          <sz val="21"/>
          <szCs val="21"/>
        </rPr>
        <t xml:space="preserve">9.2 THE SERVICES AND DELIVERABLES ARE PROVIDED “AS IS.” PROVIDER MAKES NO WARRANTIES, EXPRESS OR IMPLIED, INCLUDING WARRANTIES OF MERCHANTABILITY, FITNESS FOR A PARTICULAR PURPOSE, OR NON-INFRINGEMENT. PROVIDER DOES NOT WARRANT THAT THE EXERCISE WILL IDENTIFY ALL ORGANIZATIONAL VULNERABILITIES, THAT THE FINDINGS WILL PREVENT FUTURE INCIDENTS, OR THAT IMPLEMENTATION OF RECOMMENDATIONS WILL ACHIEVE SPECIFIC OUTCOMES.</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C00000" sz="24"/>
              <bottom val="none" color="FFFFFF" sz="0"/>
              <right val="none" color="FFFFFF" sz="0"/>
            </tcBorders>
            <shd fill="FBE4E4" val="clear"/>
            <tcMar>
              <top type="dxa" w="100"/>
              <left type="dxa" w="160"/>
              <bottom type="dxa" w="100"/>
              <right type="dxa" w="160"/>
            </tcMar>
          </tcPr>
          <p>
            <pPr>
              <spacing after="60"/>
            </pPr>
            <r>
              <rPr>
                <rFonts ascii="Calibri" cs="Calibri" eastAsia="Calibri" hAnsi="Calibri"/>
                <b/>
                <bCs/>
                <color val="C00000"/>
                <sz val="20"/>
                <szCs val="20"/>
              </rPr>
              <t xml:space="preserve">⚖  ATTORNEY REVIEW REQUIRED: Warranty disclaimer</t>
            </r>
          </p>
          <p>
            <pPr>
              <spacing after="40" before="0" line="276"/>
            </pPr>
            <r>
              <rPr>
                <rFonts ascii="Calibri" cs="Calibri" eastAsia="Calibri" hAnsi="Calibri"/>
                <color val="404040"/>
                <sz val="20"/>
                <szCs val="20"/>
              </rPr>
              <t xml:space="preserve">Warranty disclaimers frequently require conspicuous formatting (capital letters) and jurisdiction-specific language to be enforceable. Counsel must review this section together with Section 8.</t>
            </r>
          </p>
        </tc>
      </tr>
    </tbl>
    <p>
      <pPr>
        <pStyle val="Heading2"/>
        <keepNext/>
        <spacing after="110" before="240"/>
      </pPr>
      <r>
        <rPr>
          <rFonts ascii="Calibri" cs="Calibri" eastAsia="Calibri" hAnsi="Calibri"/>
          <b/>
          <bCs/>
          <color val="2E74B5"/>
          <sz val="25"/>
          <szCs val="25"/>
        </rPr>
        <t xml:space="preserve">10. Privilege</t>
      </r>
    </p>
    <p>
      <pPr>
        <spacing after="120" before="0" line="276"/>
      </pPr>
      <r>
        <rPr>
          <rFonts ascii="Calibri" cs="Calibri" eastAsia="Calibri" hAnsi="Calibri"/>
          <color val="404040"/>
          <sz val="21"/>
          <szCs val="21"/>
        </rPr>
        <t xml:space="preserve">10.1 Unless otherwise agreed in writing, the services provided under this engagement are not conducted under attorney-client privilege. Exercise observations, AAR findings, and deliverables are not privileged communications and may be discoverable in litigation or regulatory proceedings.</t>
      </r>
    </p>
    <p>
      <pPr>
        <spacing after="120" before="0" line="276"/>
      </pPr>
      <r>
        <rPr>
          <rFonts ascii="Calibri" cs="Calibri" eastAsia="Calibri" hAnsi="Calibri"/>
          <color val="404040"/>
          <sz val="21"/>
          <szCs val="21"/>
        </rPr>
        <t xml:space="preserve">10.2 If Client requires the engagement to be conducted under attorney-client privilege, Client must engage its outside counsel to direct the engagement, and that structure must be established in writing before the engagement begins. Privilege generally cannot be applied retroactively to work already performed.</t>
      </r>
    </p>
    <p>
      <pPr>
        <spacing after="120" before="0" line="276"/>
      </pPr>
      <r>
        <rPr>
          <rFonts ascii="Calibri" cs="Calibri" eastAsia="Calibri" hAnsi="Calibri"/>
          <color val="404040"/>
          <sz val="21"/>
          <szCs val="21"/>
        </rPr>
        <t xml:space="preserve">10.3 Provider recommends that Client consult its own legal counsel about whether a privileged structure is appropriate before executing this SOW.</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C00000" sz="24"/>
              <bottom val="none" color="FFFFFF" sz="0"/>
              <right val="none" color="FFFFFF" sz="0"/>
            </tcBorders>
            <shd fill="FBE4E4" val="clear"/>
            <tcMar>
              <top type="dxa" w="100"/>
              <left type="dxa" w="160"/>
              <bottom type="dxa" w="100"/>
              <right type="dxa" w="160"/>
            </tcMar>
          </tcPr>
          <p>
            <pPr>
              <spacing after="60"/>
            </pPr>
            <r>
              <rPr>
                <rFonts ascii="Calibri" cs="Calibri" eastAsia="Calibri" hAnsi="Calibri"/>
                <b/>
                <bCs/>
                <color val="C00000"/>
                <sz val="20"/>
                <szCs val="20"/>
              </rPr>
              <t xml:space="preserve">⚖  ATTORNEY REVIEW REQUIRED: Privilege</t>
            </r>
          </p>
          <p>
            <pPr>
              <spacing after="40" before="0" line="276"/>
            </pPr>
            <r>
              <rPr>
                <rFonts ascii="Calibri" cs="Calibri" eastAsia="Calibri" hAnsi="Calibri"/>
                <color val="404040"/>
                <sz val="20"/>
                <szCs val="20"/>
              </rPr>
              <t xml:space="preserve">Many clients assume tabletop exercise findings are privileged; they are not unless the engagement is structured under outside counsel's direction from the outset. Counsel should advise you on how to discuss privilege with clients and how to paper a counsel-directed engagement if a client requests one.</t>
            </r>
          </p>
        </tc>
      </tr>
    </tbl>
    <p>
      <pPr>
        <pStyle val="Heading2"/>
        <keepNext/>
        <spacing after="110" before="240"/>
      </pPr>
      <r>
        <rPr>
          <rFonts ascii="Calibri" cs="Calibri" eastAsia="Calibri" hAnsi="Calibri"/>
          <b/>
          <bCs/>
          <color val="2E74B5"/>
          <sz val="25"/>
          <szCs val="25"/>
        </rPr>
        <t xml:space="preserve">11. Exclusions</t>
      </r>
    </p>
    <p>
      <pPr>
        <spacing after="120" before="0" line="276"/>
      </pPr>
      <r>
        <rPr>
          <rFonts ascii="Calibri" cs="Calibri" eastAsia="Calibri" hAnsi="Calibri"/>
          <color val="404040"/>
          <sz val="21"/>
          <szCs val="21"/>
        </rPr>
        <t xml:space="preserve">11.1 This engagement is limited to a discussion-based tabletop exercise. It does not include penetration testing, vulnerability scanning, technical security assessments, red-team activities, live system testing, operational simulations, incident response retainer services, legal advice, or compliance certification.</t>
      </r>
    </p>
    <p>
      <pPr>
        <spacing after="120" before="0" line="276"/>
      </pPr>
      <r>
        <rPr>
          <rFonts ascii="Calibri" cs="Calibri" eastAsia="Calibri" hAnsi="Calibri"/>
          <color val="404040"/>
          <sz val="21"/>
          <szCs val="21"/>
        </rPr>
        <t xml:space="preserve">11.2 Findings and recommendations are derived from a simulated, discussion-based scenario and from the information Client provides. They do not constitute a comprehensive security or resilience assessment and should not be relied upon as such. The AAR samples organizational resilience through a single scenario lens and does not evaluate the full breadth of Client's technology, administrative, and operations stack.</t>
      </r>
    </p>
    <p>
      <pPr>
        <spacing after="120" before="0" line="276"/>
      </pPr>
      <r>
        <rPr>
          <rFonts ascii="Calibri" cs="Calibri" eastAsia="Calibri" hAnsi="Calibri"/>
          <color val="404040"/>
          <sz val="21"/>
          <szCs val="21"/>
        </rPr>
        <t xml:space="preserve">11.3 The Compliance Evidence Package documents exercise completion and supports Client's evidence needs, but Provider does not certify compliance and does not guarantee that any framework, regulator, insurer, or auditor will accept the Exercise as satisfying a specific requirement.</t>
      </r>
    </p>
    <p>
      <pPr>
        <pStyle val="Heading2"/>
        <keepNext/>
        <spacing after="110" before="240"/>
      </pPr>
      <r>
        <rPr>
          <rFonts ascii="Calibri" cs="Calibri" eastAsia="Calibri" hAnsi="Calibri"/>
          <b/>
          <bCs/>
          <color val="2E74B5"/>
          <sz val="25"/>
          <szCs val="25"/>
        </rPr>
        <t xml:space="preserve">12. Confidentiality</t>
      </r>
    </p>
    <p>
      <pPr>
        <spacing after="120" before="0" line="276"/>
      </pPr>
      <r>
        <rPr>
          <rFonts ascii="Calibri" cs="Calibri" eastAsia="Calibri" hAnsi="Calibri"/>
          <color val="404040"/>
          <sz val="21"/>
          <szCs val="21"/>
        </rPr>
        <t xml:space="preserve">12.1 The terms of this SOW, all exercise materials, and all deliverables are confidential and subject to the Mutual Non-Disclosure Agreement between the Parties dated [DATE] (the “NDA”; a template is provided in this package as the Mutual Non-Disclosure Agreement, 02 - Contract folder). In the event of conflict, the NDA governs with respect to confidentiality.</t>
      </r>
    </p>
    <p>
      <pPr>
        <spacing after="120" before="0" line="276"/>
      </pPr>
      <r>
        <rPr>
          <rFonts ascii="Calibri" cs="Calibri" eastAsia="Calibri" hAnsi="Calibri"/>
          <color val="404040"/>
          <sz val="21"/>
          <szCs val="21"/>
        </rPr>
        <t xml:space="preserve">12.2 The AAR and all findings are the confidential property of Client. Provider shall not disclose exercise findings, Client-specific information, or deliverable contents to any third party without Client's prior written consent.</t>
      </r>
    </p>
    <p>
      <pPr>
        <spacing after="120" before="0" line="276"/>
      </pPr>
      <r>
        <rPr>
          <rFonts ascii="Calibri" cs="Calibri" eastAsia="Calibri" hAnsi="Calibri"/>
          <color val="404040"/>
          <sz val="21"/>
          <szCs val="21"/>
        </rPr>
        <t xml:space="preserve">12.3 Provider may use anonymized, aggregated data from this engagement for internal quality improvement, benchmarking, and service development purposes, provided that no information identifying Client or its personnel is disclosed.</t>
      </r>
    </p>
    <p>
      <pPr>
        <pStyle val="Heading2"/>
        <keepNext/>
        <spacing after="110" before="240"/>
      </pPr>
      <r>
        <rPr>
          <rFonts ascii="Calibri" cs="Calibri" eastAsia="Calibri" hAnsi="Calibri"/>
          <b/>
          <bCs/>
          <color val="2E74B5"/>
          <sz val="25"/>
          <szCs val="25"/>
        </rPr>
        <t xml:space="preserve">13. Intellectual Property</t>
      </r>
    </p>
    <p>
      <pPr>
        <spacing after="120" before="0" line="276"/>
      </pPr>
      <r>
        <rPr>
          <rFonts ascii="Calibri" cs="Calibri" eastAsia="Calibri" hAnsi="Calibri"/>
          <color val="404040"/>
          <sz val="21"/>
          <szCs val="21"/>
        </rPr>
        <t xml:space="preserve">13.1 Provider retains ownership of all exercise methodology, scenario frameworks, templates, tools, and processes used in the delivery of services (“Provider IP”). Client receives a non-exclusive, non-transferable license to use the deliverables produced under this SOW for Client's internal purposes.</t>
      </r>
    </p>
    <p>
      <pPr>
        <spacing after="120" before="0" line="276"/>
      </pPr>
      <r>
        <rPr>
          <rFonts ascii="Calibri" cs="Calibri" eastAsia="Calibri" hAnsi="Calibri"/>
          <color val="404040"/>
          <sz val="21"/>
          <szCs val="21"/>
        </rPr>
        <t xml:space="preserve">13.2 Client retains ownership of all Client-provided information, data, and documentation.</t>
      </r>
    </p>
    <p>
      <pPr>
        <spacing after="120" before="0" line="276"/>
      </pPr>
      <r>
        <rPr>
          <rFonts ascii="Calibri" cs="Calibri" eastAsia="Calibri" hAnsi="Calibri"/>
          <color val="404040"/>
          <sz val="21"/>
          <szCs val="21"/>
        </rPr>
        <t xml:space="preserve">13.3 The AAR and all customized deliverables produced specifically for Client under this SOW are jointly owned: Client owns the content and findings, and Provider owns the underlying methodology, structure, and template framework.</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C00000" sz="24"/>
              <bottom val="none" color="FFFFFF" sz="0"/>
              <right val="none" color="FFFFFF" sz="0"/>
            </tcBorders>
            <shd fill="FBE4E4" val="clear"/>
            <tcMar>
              <top type="dxa" w="100"/>
              <left type="dxa" w="160"/>
              <bottom type="dxa" w="100"/>
              <right type="dxa" w="160"/>
            </tcMar>
          </tcPr>
          <p>
            <pPr>
              <spacing after="60"/>
            </pPr>
            <r>
              <rPr>
                <rFonts ascii="Calibri" cs="Calibri" eastAsia="Calibri" hAnsi="Calibri"/>
                <b/>
                <bCs/>
                <color val="C00000"/>
                <sz val="20"/>
                <szCs val="20"/>
              </rPr>
              <t xml:space="preserve">⚖  ATTORNEY REVIEW REQUIRED: Intellectual property</t>
            </r>
          </p>
          <p>
            <pPr>
              <spacing after="40" before="0" line="276"/>
            </pPr>
            <r>
              <rPr>
                <rFonts ascii="Calibri" cs="Calibri" eastAsia="Calibri" hAnsi="Calibri"/>
                <color val="404040"/>
                <sz val="20"/>
                <szCs val="20"/>
              </rPr>
              <t xml:space="preserve">IP ownership provisions require careful review. The joint model above is one common approach; alternatives include full Client ownership of deliverables (more client-friendly) or full Provider ownership with a Client license (more provider-friendly). Counsel should advise based on your business model and client expectations.</t>
            </r>
          </p>
        </tc>
      </tr>
    </tbl>
    <p>
      <pPr>
        <pStyle val="Heading2"/>
        <keepNext/>
        <spacing after="110" before="240"/>
      </pPr>
      <r>
        <rPr>
          <rFonts ascii="Calibri" cs="Calibri" eastAsia="Calibri" hAnsi="Calibri"/>
          <b/>
          <bCs/>
          <color val="2E74B5"/>
          <sz val="25"/>
          <szCs val="25"/>
        </rPr>
        <t xml:space="preserve">14. Dispute Resolution and Governing Law</t>
      </r>
    </p>
    <p>
      <pPr>
        <spacing after="120" before="0" line="276"/>
      </pPr>
      <r>
        <rPr>
          <rFonts ascii="Calibri" cs="Calibri" eastAsia="Calibri" hAnsi="Calibri"/>
          <color val="404040"/>
          <sz val="21"/>
          <szCs val="21"/>
        </rPr>
        <t xml:space="preserve">14.1 Any dispute arising out of or related to this engagement shall first be submitted to good-faith negotiation between the Parties for a period of [30] days.</t>
      </r>
    </p>
    <p>
      <pPr>
        <spacing after="120" before="0" line="276"/>
      </pPr>
      <r>
        <rPr>
          <rFonts ascii="Calibri" cs="Calibri" eastAsia="Calibri" hAnsi="Calibri"/>
          <color val="404040"/>
          <sz val="21"/>
          <szCs val="21"/>
        </rPr>
        <t xml:space="preserve">14.2 If the dispute is not resolved through negotiation, it shall be submitted to [binding arbitration under the rules of the American Arbitration Association / mediation, followed by litigation if unresolved / litigation in the courts of [JURISDICTION]], as the exclusive forum for resolution.</t>
      </r>
    </p>
    <p>
      <pPr>
        <spacing after="120" before="0" line="276"/>
      </pPr>
      <r>
        <rPr>
          <rFonts ascii="Calibri" cs="Calibri" eastAsia="Calibri" hAnsi="Calibri"/>
          <color val="404040"/>
          <sz val="21"/>
          <szCs val="21"/>
        </rPr>
        <t xml:space="preserve">14.3 This SOW shall be governed by and construed in accordance with the laws of the State of [STATE], without regard to its conflicts of law principles.</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2E74B5" sz="24"/>
              <bottom val="none" color="FFFFFF" sz="0"/>
              <right val="none" color="FFFFFF" sz="0"/>
            </tcBorders>
            <shd fill="DEEBF7" val="clear"/>
            <tcMar>
              <top type="dxa" w="100"/>
              <left type="dxa" w="160"/>
              <bottom type="dxa" w="100"/>
              <right type="dxa" w="160"/>
            </tcMar>
          </tcPr>
          <p>
            <pPr>
              <spacing after="60"/>
            </pPr>
            <r>
              <rPr>
                <rFonts ascii="Calibri" cs="Calibri" eastAsia="Calibri" hAnsi="Calibri"/>
                <b/>
                <bCs/>
                <color val="2E74B5"/>
                <sz val="20"/>
                <szCs val="20"/>
              </rPr>
              <t xml:space="preserve">✎  CUSTOMIZE: Dispute resolution</t>
            </r>
          </p>
          <p>
            <pPr>
              <spacing after="40" before="0" line="276"/>
            </pPr>
            <r>
              <rPr>
                <rFonts ascii="Calibri" cs="Calibri" eastAsia="Calibri" hAnsi="Calibri"/>
                <color val="404040"/>
                <sz val="20"/>
                <szCs val="20"/>
              </rPr>
              <t xml:space="preserve">Select the mechanism that matches your practice's preference and counsel's advice. Arbitration is generally faster and more private; litigation preserves appeal rights; mediation is non-binding and can be a useful first step. Match the governing-law jurisdiction to the Mutual Non-Disclosure Agreement (02 - Contract folder).</t>
            </r>
          </p>
        </tc>
      </tr>
    </tbl>
    <p>
      <pPr>
        <pStyle val="Heading2"/>
        <keepNext/>
        <spacing after="110" before="240"/>
      </pPr>
      <r>
        <rPr>
          <rFonts ascii="Calibri" cs="Calibri" eastAsia="Calibri" hAnsi="Calibri"/>
          <b/>
          <bCs/>
          <color val="2E74B5"/>
          <sz val="25"/>
          <szCs val="25"/>
        </rPr>
        <t xml:space="preserve">15. Term and Termination</t>
      </r>
    </p>
    <p>
      <pPr>
        <spacing after="120" before="0" line="276"/>
      </pPr>
      <r>
        <rPr>
          <rFonts ascii="Calibri" cs="Calibri" eastAsia="Calibri" hAnsi="Calibri"/>
          <color val="404040"/>
          <sz val="21"/>
          <szCs val="21"/>
        </rPr>
        <t xml:space="preserve">15.1 This SOW is effective as of the date of last signature below and shall remain in effect until all services have been completed and all deliverables have been accepted by Client, unless terminated earlier in accordance with this Section.</t>
      </r>
    </p>
    <p>
      <pPr>
        <spacing after="120" before="0" line="276"/>
      </pPr>
      <r>
        <rPr>
          <rFonts ascii="Calibri" cs="Calibri" eastAsia="Calibri" hAnsi="Calibri"/>
          <color val="404040"/>
          <sz val="21"/>
          <szCs val="21"/>
        </rPr>
        <t xml:space="preserve">15.2 Either Party may terminate this SOW with [30] days' written notice. In the event of termination, Client shall pay for all services performed and expenses incurred through the effective date of termination.</t>
      </r>
    </p>
    <p>
      <pPr>
        <spacing after="120" before="0" line="276"/>
      </pPr>
      <r>
        <rPr>
          <rFonts ascii="Calibri" cs="Calibri" eastAsia="Calibri" hAnsi="Calibri"/>
          <color val="404040"/>
          <sz val="21"/>
          <szCs val="21"/>
        </rPr>
        <t xml:space="preserve">15.3 Termination, cancellation, and rescheduling are further subject to Exhibit A (Cancellation and Rescheduling Policy), which is incorporated into and forms part of this SOW.</t>
      </r>
    </p>
    <p>
      <pPr>
        <pStyle val="Heading2"/>
        <keepNext/>
        <spacing after="110" before="240"/>
      </pPr>
      <r>
        <rPr>
          <rFonts ascii="Calibri" cs="Calibri" eastAsia="Calibri" hAnsi="Calibri"/>
          <b/>
          <bCs/>
          <color val="2E74B5"/>
          <sz val="25"/>
          <szCs val="25"/>
        </rPr>
        <t xml:space="preserve">16. General Terms</t>
      </r>
    </p>
    <p>
      <pPr>
        <spacing after="120" before="0" line="276"/>
      </pPr>
      <r>
        <rPr>
          <rFonts ascii="Calibri" cs="Calibri" eastAsia="Calibri" hAnsi="Calibri"/>
          <color val="404040"/>
          <sz val="21"/>
          <szCs val="21"/>
        </rPr>
        <t xml:space="preserve">16.1 </t>
      </r>
      <r>
        <rPr>
          <rFonts ascii="Calibri" cs="Calibri" eastAsia="Calibri" hAnsi="Calibri"/>
          <b/>
          <bCs/>
          <color val="404040"/>
          <sz val="21"/>
          <szCs val="21"/>
        </rPr>
        <t xml:space="preserve">Indemnification.</t>
      </r>
      <r>
        <rPr>
          <rFonts ascii="Calibri" cs="Calibri" eastAsia="Calibri" hAnsi="Calibri"/>
          <color val="404040"/>
          <sz val="21"/>
          <szCs val="21"/>
        </rPr>
        <t xml:space="preserve"> Each Party (the “Indemnifying Party”) shall indemnify, defend, and hold harmless the other Party and its officers, directors, employees, and agents from and against any third-party claims, damages, losses, and expenses (including reasonable attorney's fees) arising from: (a) the Indemnifying Party's material breach of this SOW; (b) the Indemnifying Party's gross negligence or willful misconduct; or (c) the Indemnifying Party's violation of applicable law. [CUSTOMIZE: adjust scope based on risk tolerance and attorney guidance.]</t>
      </r>
    </p>
    <p>
      <pPr>
        <spacing after="120" before="0" line="276"/>
      </pPr>
      <r>
        <rPr>
          <rFonts ascii="Calibri" cs="Calibri" eastAsia="Calibri" hAnsi="Calibri"/>
          <color val="404040"/>
          <sz val="21"/>
          <szCs val="21"/>
        </rPr>
        <t xml:space="preserve">16.2 </t>
      </r>
      <r>
        <rPr>
          <rFonts ascii="Calibri" cs="Calibri" eastAsia="Calibri" hAnsi="Calibri"/>
          <b/>
          <bCs/>
          <color val="404040"/>
          <sz val="21"/>
          <szCs val="21"/>
        </rPr>
        <t xml:space="preserve">Force Majeure.</t>
      </r>
      <r>
        <rPr>
          <rFonts ascii="Calibri" cs="Calibri" eastAsia="Calibri" hAnsi="Calibri"/>
          <color val="404040"/>
          <sz val="21"/>
          <szCs val="21"/>
        </rPr>
        <t xml:space="preserve"> Neither Party shall be liable for any delay or failure to perform its obligations under this SOW due to causes beyond its reasonable control. The definition of force majeure events, notice obligations, and the Parties' rights when an event extends beyond [60] days are set out in Exhibit A, Section A.4.</t>
      </r>
    </p>
    <p>
      <pPr>
        <spacing after="120" before="0" line="276"/>
      </pPr>
      <r>
        <rPr>
          <rFonts ascii="Calibri" cs="Calibri" eastAsia="Calibri" hAnsi="Calibri"/>
          <color val="404040"/>
          <sz val="21"/>
          <szCs val="21"/>
        </rPr>
        <t xml:space="preserve">16.3 </t>
      </r>
      <r>
        <rPr>
          <rFonts ascii="Calibri" cs="Calibri" eastAsia="Calibri" hAnsi="Calibri"/>
          <b/>
          <bCs/>
          <color val="404040"/>
          <sz val="21"/>
          <szCs val="21"/>
        </rPr>
        <t xml:space="preserve">Entire Agreement.</t>
      </r>
      <r>
        <rPr>
          <rFonts ascii="Calibri" cs="Calibri" eastAsia="Calibri" hAnsi="Calibri"/>
          <color val="404040"/>
          <sz val="21"/>
          <szCs val="21"/>
        </rPr>
        <t xml:space="preserve"> This SOW, together with the NDA and Exhibit A, constitutes the entire agreement between the Parties with respect to the subject matter hereof and supersedes all prior and contemporaneous agreements, proposals, negotiations, representations, and communications, whether oral or written.</t>
      </r>
    </p>
    <p>
      <pPr>
        <spacing after="120" before="0" line="276"/>
      </pPr>
      <r>
        <rPr>
          <rFonts ascii="Calibri" cs="Calibri" eastAsia="Calibri" hAnsi="Calibri"/>
          <color val="404040"/>
          <sz val="21"/>
          <szCs val="21"/>
        </rPr>
        <t xml:space="preserve">16.4 </t>
      </r>
      <r>
        <rPr>
          <rFonts ascii="Calibri" cs="Calibri" eastAsia="Calibri" hAnsi="Calibri"/>
          <b/>
          <bCs/>
          <color val="404040"/>
          <sz val="21"/>
          <szCs val="21"/>
        </rPr>
        <t xml:space="preserve">Amendment and Waiver.</t>
      </r>
      <r>
        <rPr>
          <rFonts ascii="Calibri" cs="Calibri" eastAsia="Calibri" hAnsi="Calibri"/>
          <color val="404040"/>
          <sz val="21"/>
          <szCs val="21"/>
        </rPr>
        <t xml:space="preserve"> This SOW may be amended only by a written instrument signed by authorized representatives of both Parties. No waiver of any provision shall be effective unless in writing and signed by the waiving Party.</t>
      </r>
    </p>
    <p>
      <pPr>
        <spacing after="120" before="0" line="276"/>
      </pPr>
      <r>
        <rPr>
          <rFonts ascii="Calibri" cs="Calibri" eastAsia="Calibri" hAnsi="Calibri"/>
          <color val="404040"/>
          <sz val="21"/>
          <szCs val="21"/>
        </rPr>
        <t xml:space="preserve">16.5 </t>
      </r>
      <r>
        <rPr>
          <rFonts ascii="Calibri" cs="Calibri" eastAsia="Calibri" hAnsi="Calibri"/>
          <b/>
          <bCs/>
          <color val="404040"/>
          <sz val="21"/>
          <szCs val="21"/>
        </rPr>
        <t xml:space="preserve">Severability.</t>
      </r>
      <r>
        <rPr>
          <rFonts ascii="Calibri" cs="Calibri" eastAsia="Calibri" hAnsi="Calibri"/>
          <color val="404040"/>
          <sz val="21"/>
          <szCs val="21"/>
        </rPr>
        <t xml:space="preserve"> If any provision of this SOW is held to be invalid, illegal, or unenforceable, the remaining provisions shall continue in full force and effect, and the Parties shall negotiate in good faith to replace the invalid provision with a valid provision that achieves the original intent.</t>
      </r>
    </p>
    <p>
      <pPr>
        <spacing after="120" before="0" line="276"/>
      </pPr>
      <r>
        <rPr>
          <rFonts ascii="Calibri" cs="Calibri" eastAsia="Calibri" hAnsi="Calibri"/>
          <color val="404040"/>
          <sz val="21"/>
          <szCs val="21"/>
        </rPr>
        <t xml:space="preserve">16.6 </t>
      </r>
      <r>
        <rPr>
          <rFonts ascii="Calibri" cs="Calibri" eastAsia="Calibri" hAnsi="Calibri"/>
          <b/>
          <bCs/>
          <color val="404040"/>
          <sz val="21"/>
          <szCs val="21"/>
        </rPr>
        <t xml:space="preserve">Assignment.</t>
      </r>
      <r>
        <rPr>
          <rFonts ascii="Calibri" cs="Calibri" eastAsia="Calibri" hAnsi="Calibri"/>
          <color val="404040"/>
          <sz val="21"/>
          <szCs val="21"/>
        </rPr>
        <t xml:space="preserve"> Neither Party may assign or transfer this SOW, in whole or in part, without the prior written consent of the other Party, except that either Party may assign this SOW to a successor in connection with a merger, acquisition, or sale of all or substantially all of its assets. Any attempted assignment in violation of this section shall be void. [CUSTOMIZE]</t>
      </r>
    </p>
    <p>
      <pPr>
        <spacing after="120" before="0" line="276"/>
      </pPr>
      <r>
        <rPr>
          <rFonts ascii="Calibri" cs="Calibri" eastAsia="Calibri" hAnsi="Calibri"/>
          <color val="404040"/>
          <sz val="21"/>
          <szCs val="21"/>
        </rPr>
        <t xml:space="preserve">16.7 </t>
      </r>
      <r>
        <rPr>
          <rFonts ascii="Calibri" cs="Calibri" eastAsia="Calibri" hAnsi="Calibri"/>
          <b/>
          <bCs/>
          <color val="404040"/>
          <sz val="21"/>
          <szCs val="21"/>
        </rPr>
        <t xml:space="preserve">Survival.</t>
      </r>
      <r>
        <rPr>
          <rFonts ascii="Calibri" cs="Calibri" eastAsia="Calibri" hAnsi="Calibri"/>
          <color val="404040"/>
          <sz val="21"/>
          <szCs val="21"/>
        </rPr>
        <t xml:space="preserve"> Sections 7 (Nature of Services and Advisory Disclaimers), 8 (Limitation of Liability), 9 (No Guarantee of Security; Warranty Disclaimer), 12 (Confidentiality), 13 (Intellectual Property), and 16.1 (Indemnification), and any other provisions that by their nature should survive, shall survive expiration or termination of this SOW.</t>
      </r>
    </p>
    <p>
      <pPr>
        <spacing after="120" before="0" line="276"/>
      </pPr>
      <r>
        <rPr>
          <rFonts ascii="Calibri" cs="Calibri" eastAsia="Calibri" hAnsi="Calibri"/>
          <color val="404040"/>
          <sz val="21"/>
          <szCs val="21"/>
        </rPr>
        <t xml:space="preserve">16.8 </t>
      </r>
      <r>
        <rPr>
          <rFonts ascii="Calibri" cs="Calibri" eastAsia="Calibri" hAnsi="Calibri"/>
          <b/>
          <bCs/>
          <color val="404040"/>
          <sz val="21"/>
          <szCs val="21"/>
        </rPr>
        <t xml:space="preserve">Notices.</t>
      </r>
      <r>
        <rPr>
          <rFonts ascii="Calibri" cs="Calibri" eastAsia="Calibri" hAnsi="Calibri"/>
          <color val="404040"/>
          <sz val="21"/>
          <szCs val="21"/>
        </rPr>
        <t xml:space="preserve"> All notices under this SOW shall be in writing and delivered to the addresses specified above, or to such other address as a Party may designate by written notice. Notices shall be deemed delivered upon personal delivery, one business day after deposit with a recognized overnight carrier, or three business days after mailing by certified mail, return receipt requested.</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C00000" sz="24"/>
              <bottom val="none" color="FFFFFF" sz="0"/>
              <right val="none" color="FFFFFF" sz="0"/>
            </tcBorders>
            <shd fill="FBE4E4" val="clear"/>
            <tcMar>
              <top type="dxa" w="100"/>
              <left type="dxa" w="160"/>
              <bottom type="dxa" w="100"/>
              <right type="dxa" w="160"/>
            </tcMar>
          </tcPr>
          <p>
            <pPr>
              <spacing after="60"/>
            </pPr>
            <r>
              <rPr>
                <rFonts ascii="Calibri" cs="Calibri" eastAsia="Calibri" hAnsi="Calibri"/>
                <b/>
                <bCs/>
                <color val="C00000"/>
                <sz val="20"/>
                <szCs val="20"/>
              </rPr>
              <t xml:space="preserve">⚖  ATTORNEY REVIEW REQUIRED: General terms</t>
            </r>
          </p>
          <p>
            <pPr>
              <spacing after="40" before="0" line="276"/>
            </pPr>
            <r>
              <rPr>
                <rFonts ascii="Calibri" cs="Calibri" eastAsia="Calibri" hAnsi="Calibri"/>
                <color val="404040"/>
                <sz val="20"/>
                <szCs val="20"/>
              </rPr>
              <t xml:space="preserve">These general terms supplement the engagement-specific terms above. Every clause requires attorney review and customization for your jurisdiction and business context. Do not use without counsel review.</t>
            </r>
          </p>
        </tc>
      </tr>
    </tbl>
    <p>
      <pPr>
        <pStyle val="Heading2"/>
        <keepNext/>
        <spacing after="110" before="240"/>
      </pPr>
      <r>
        <rPr>
          <rFonts ascii="Calibri" cs="Calibri" eastAsia="Calibri" hAnsi="Calibri"/>
          <b/>
          <bCs/>
          <color val="2E74B5"/>
          <sz val="25"/>
          <szCs val="25"/>
        </rPr>
        <t xml:space="preserve">17. Signatures</t>
      </r>
    </p>
    <p>
      <pPr>
        <spacing after="120" before="0" line="276"/>
      </pPr>
      <r>
        <rPr>
          <rFonts ascii="Calibri" cs="Calibri" eastAsia="Calibri" hAnsi="Calibri"/>
          <color val="404040"/>
          <sz val="21"/>
          <szCs val="21"/>
        </rPr>
        <t xml:space="preserve">IN WITNESS WHEREOF, the Parties have executed this Statement of Work and Engagement Terms, including Exhibit A, as of the Effective Date.</t>
      </r>
    </p>
    <tbl>
      <tblPr>
        <tblW type="dxa" w="9360"/>
        <tblBorders>
          <top val="single" color="BFBFBF" sz="4"/>
          <left val="single" color="BFBFBF" sz="4"/>
          <bottom val="single" color="BFBFBF" sz="4"/>
          <right val="single" color="BFBFBF" sz="4"/>
          <insideH val="single" color="BFBFBF" sz="4"/>
          <insideV val="single" color="BFBFBF" sz="4"/>
        </tblBorders>
      </tblPr>
      <tblGrid>
        <gridCol w="2200"/>
        <gridCol w="3580"/>
        <gridCol w="3580"/>
      </tblGrid>
      <tr>
        <trPr>
          <tblHeader/>
        </trPr>
        <tc>
          <tcPr>
            <tcW type="dxa" w="220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
            </r>
          </p>
        </tc>
        <tc>
          <tcPr>
            <tcW type="dxa" w="358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Provider</t>
            </r>
          </p>
        </tc>
        <tc>
          <tcPr>
            <tcW type="dxa" w="358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Client</t>
            </r>
          </p>
        </tc>
      </tr>
      <tr>
        <tc>
          <tcPr>
            <tcW type="dxa" w="22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Signature</t>
            </r>
          </p>
        </tc>
        <tc>
          <tcPr>
            <tcW type="dxa" w="358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________________________</t>
            </r>
          </p>
        </tc>
        <tc>
          <tcPr>
            <tcW type="dxa" w="358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________________________</t>
            </r>
          </p>
        </tc>
      </tr>
      <tr>
        <tc>
          <tcPr>
            <tcW type="dxa" w="22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Printed Name</t>
            </r>
          </p>
        </tc>
        <tc>
          <tcPr>
            <tcW type="dxa" w="358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________________________</t>
            </r>
          </p>
        </tc>
        <tc>
          <tcPr>
            <tcW type="dxa" w="358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________________________</t>
            </r>
          </p>
        </tc>
      </tr>
      <tr>
        <tc>
          <tcPr>
            <tcW type="dxa" w="22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Title</t>
            </r>
          </p>
        </tc>
        <tc>
          <tcPr>
            <tcW type="dxa" w="358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________________________</t>
            </r>
          </p>
        </tc>
        <tc>
          <tcPr>
            <tcW type="dxa" w="358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________________________</t>
            </r>
          </p>
        </tc>
      </tr>
      <tr>
        <tc>
          <tcPr>
            <tcW type="dxa" w="22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Date</t>
            </r>
          </p>
        </tc>
        <tc>
          <tcPr>
            <tcW type="dxa" w="358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________________________</t>
            </r>
          </p>
        </tc>
        <tc>
          <tcPr>
            <tcW type="dxa" w="358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________________________</t>
            </r>
          </p>
        </tc>
      </tr>
    </tbl>
    <p>
      <r>
        <br type="page"/>
      </r>
    </p>
    <p>
      <pPr>
        <pStyle val="Heading1"/>
        <keepNext/>
        <spacing after="140" before="320"/>
      </pPr>
      <r>
        <rPr>
          <rFonts ascii="Calibri" cs="Calibri" eastAsia="Calibri" hAnsi="Calibri"/>
          <b/>
          <bCs/>
          <color val="1F3864"/>
          <sz val="30"/>
          <szCs val="30"/>
        </rPr>
        <t xml:space="preserve">Exhibit A: Cancellation and Rescheduling Policy</t>
      </r>
    </p>
    <p>
      <pPr>
        <spacing after="120" before="0" line="276"/>
      </pPr>
      <r>
        <rPr>
          <rFonts ascii="Calibri" cs="Calibri" eastAsia="Calibri" hAnsi="Calibri"/>
          <color val="404040"/>
          <sz val="21"/>
          <szCs val="21"/>
        </rPr>
        <t xml:space="preserve">This Exhibit A is incorporated into and forms part of the Statement of Work and Engagement Terms and applies to the Business Resilience Pulse Check engagement described therein. In the event of conflict between this Exhibit and the main body of the SOW, the main body of the SOW shall govern.</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1F3864" sz="24"/>
              <bottom val="none" color="FFFFFF" sz="0"/>
              <right val="none" color="FFFFFF" sz="0"/>
            </tcBorders>
            <shd fill="EDF2F9" val="clear"/>
            <tcMar>
              <top type="dxa" w="100"/>
              <left type="dxa" w="160"/>
              <bottom type="dxa" w="100"/>
              <right type="dxa" w="160"/>
            </tcMar>
          </tcPr>
          <p>
            <pPr>
              <spacing after="60"/>
            </pPr>
            <r>
              <rPr>
                <rFonts ascii="Calibri" cs="Calibri" eastAsia="Calibri" hAnsi="Calibri"/>
                <b/>
                <bCs/>
                <color val="1F3864"/>
                <sz val="20"/>
                <szCs val="20"/>
              </rPr>
              <t xml:space="preserve">ℹ  GUIDANCE: Using this policy</t>
            </r>
          </p>
          <p>
            <pPr>
              <spacing after="40" before="0" line="276"/>
            </pPr>
            <r>
              <rPr>
                <rFonts ascii="Calibri" cs="Calibri" eastAsia="Calibri" hAnsi="Calibri"/>
                <color val="404040"/>
                <sz val="20"/>
                <szCs val="20"/>
              </rPr>
              <t xml:space="preserve">This policy protects your investment in scenario development and planning while staying client-friendly about genuine scheduling problems. Walk the client through it at kickoff so the fee ladder is never a surprise.</t>
            </r>
          </p>
        </tc>
      </tr>
    </tbl>
    <p>
      <pPr>
        <pStyle val="Heading2"/>
        <keepNext/>
        <spacing after="110" before="240"/>
      </pPr>
      <r>
        <rPr>
          <rFonts ascii="Calibri" cs="Calibri" eastAsia="Calibri" hAnsi="Calibri"/>
          <b/>
          <bCs/>
          <color val="2E74B5"/>
          <sz val="25"/>
          <szCs val="25"/>
        </rPr>
        <t xml:space="preserve">A.1 Client-Initiated Rescheduling</t>
      </r>
    </p>
    <p>
      <pPr>
        <spacing after="120" before="0" line="276"/>
      </pPr>
      <r>
        <rPr>
          <rFonts ascii="Calibri" cs="Calibri" eastAsia="Calibri" hAnsi="Calibri"/>
          <color val="404040"/>
          <sz val="21"/>
          <szCs val="21"/>
        </rPr>
        <t xml:space="preserve">A.1.1 Client may reschedule the exercise date with no additional charge provided that written notice is received at least [15] business days prior to the scheduled exercise date.</t>
      </r>
    </p>
    <p>
      <pPr>
        <spacing after="120" before="0" line="276"/>
      </pPr>
      <r>
        <rPr>
          <rFonts ascii="Calibri" cs="Calibri" eastAsia="Calibri" hAnsi="Calibri"/>
          <color val="404040"/>
          <sz val="21"/>
          <szCs val="21"/>
        </rPr>
        <t xml:space="preserve">A.1.2 Rescheduling requests received [8–14] business days prior to the scheduled exercise date will incur a rescheduling fee of [25%] of the total engagement fee to cover administrative costs and facilitator schedule impacts.</t>
      </r>
    </p>
    <p>
      <pPr>
        <spacing after="120" before="0" line="276"/>
      </pPr>
      <r>
        <rPr>
          <rFonts ascii="Calibri" cs="Calibri" eastAsia="Calibri" hAnsi="Calibri"/>
          <color val="404040"/>
          <sz val="21"/>
          <szCs val="21"/>
        </rPr>
        <t xml:space="preserve">A.1.3 Rescheduling requests received fewer than [8] business days prior to the scheduled exercise date will incur a rescheduling fee of [50%] of the total engagement fee.</t>
      </r>
    </p>
    <p>
      <pPr>
        <spacing after="120" before="0" line="276"/>
      </pPr>
      <r>
        <rPr>
          <rFonts ascii="Calibri" cs="Calibri" eastAsia="Calibri" hAnsi="Calibri"/>
          <color val="404040"/>
          <sz val="21"/>
          <szCs val="21"/>
        </rPr>
        <t xml:space="preserve">A.1.4 The rescheduled exercise must occur within [90] days of the original exercise date. If the exercise is not rescheduled within this period, the engagement shall be treated as a cancellation under Section A.2.</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2E74B5" sz="24"/>
              <bottom val="none" color="FFFFFF" sz="0"/>
              <right val="none" color="FFFFFF" sz="0"/>
            </tcBorders>
            <shd fill="DEEBF7" val="clear"/>
            <tcMar>
              <top type="dxa" w="100"/>
              <left type="dxa" w="160"/>
              <bottom type="dxa" w="100"/>
              <right type="dxa" w="160"/>
            </tcMar>
          </tcPr>
          <p>
            <pPr>
              <spacing after="60"/>
            </pPr>
            <r>
              <rPr>
                <rFonts ascii="Calibri" cs="Calibri" eastAsia="Calibri" hAnsi="Calibri"/>
                <b/>
                <bCs/>
                <color val="2E74B5"/>
                <sz val="20"/>
                <szCs val="20"/>
              </rPr>
              <t xml:space="preserve">✎  CUSTOMIZE: Notice periods and fees</t>
            </r>
          </p>
          <p>
            <pPr>
              <spacing after="40" before="0" line="276"/>
            </pPr>
            <r>
              <rPr>
                <rFonts ascii="Calibri" cs="Calibri" eastAsia="Calibri" hAnsi="Calibri"/>
                <color val="404040"/>
                <sz val="20"/>
                <szCs val="20"/>
              </rPr>
              <t xml:space="preserve">Adjust the notice periods and fee percentages to your scheduling model and cost structure. If your facilitators carry other commitments, shorter notice periods with higher fees may be appropriate; if your practice has more scheduling flexibility, longer notice periods with lower fees are more client-friendly.</t>
            </r>
          </p>
        </tc>
      </tr>
    </tbl>
    <p>
      <pPr>
        <pStyle val="Heading2"/>
        <keepNext/>
        <spacing after="110" before="240"/>
      </pPr>
      <r>
        <rPr>
          <rFonts ascii="Calibri" cs="Calibri" eastAsia="Calibri" hAnsi="Calibri"/>
          <b/>
          <bCs/>
          <color val="2E74B5"/>
          <sz val="25"/>
          <szCs val="25"/>
        </rPr>
        <t xml:space="preserve">A.2 Client-Initiated Cancellation</t>
      </r>
    </p>
    <p>
      <pPr>
        <spacing after="120" before="0" line="276"/>
      </pPr>
      <r>
        <rPr>
          <rFonts ascii="Calibri" cs="Calibri" eastAsia="Calibri" hAnsi="Calibri"/>
          <color val="404040"/>
          <sz val="21"/>
          <szCs val="21"/>
        </rPr>
        <t xml:space="preserve">A.2.1 Client may cancel the engagement with written notice at any time. Cancellation fees are based on the stage of work completed:</t>
      </r>
    </p>
    <tbl>
      <tblPr>
        <tblW type="dxa" w="9360"/>
        <tblBorders>
          <top val="single" color="BFBFBF" sz="4"/>
          <left val="single" color="BFBFBF" sz="4"/>
          <bottom val="single" color="BFBFBF" sz="4"/>
          <right val="single" color="BFBFBF" sz="4"/>
          <insideH val="single" color="BFBFBF" sz="4"/>
          <insideV val="single" color="BFBFBF" sz="4"/>
        </tblBorders>
      </tblPr>
      <tblGrid>
        <gridCol w="3400"/>
        <gridCol w="2700"/>
        <gridCol w="3260"/>
      </tblGrid>
      <tr>
        <trPr>
          <tblHeader/>
        </trPr>
        <tc>
          <tcPr>
            <tcW type="dxa" w="340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Cancellation Timing</t>
            </r>
          </p>
        </tc>
        <tc>
          <tcPr>
            <tcW type="dxa" w="270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Fee</t>
            </r>
          </p>
        </tc>
        <tc>
          <tcPr>
            <tcW type="dxa" w="326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Rationale</t>
            </r>
          </p>
        </tc>
      </tr>
      <tr>
        <tc>
          <tcPr>
            <tcW type="dxa" w="34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Before planning begins (intake not completed)</t>
            </r>
          </p>
        </tc>
        <tc>
          <tcPr>
            <tcW type="dxa" w="27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Deposit returned minus [10%] administrative fee</t>
            </r>
          </p>
        </tc>
        <tc>
          <tcPr>
            <tcW type="dxa" w="32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Minimal work performed</t>
            </r>
          </p>
        </tc>
      </tr>
      <tr>
        <tc>
          <tcPr>
            <tcW type="dxa" w="34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During planning phase (scenario in development)</t>
            </r>
          </p>
        </tc>
        <tc>
          <tcPr>
            <tcW type="dxa" w="27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[50%] of total engagement fee</t>
            </r>
          </p>
        </tc>
        <tc>
          <tcPr>
            <tcW type="dxa" w="326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Scenario development and planning time invested</t>
            </r>
          </p>
        </tc>
      </tr>
      <tr>
        <tc>
          <tcPr>
            <tcW type="dxa" w="34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After scenario finalization, or within 15 business days of the exercise</t>
            </r>
          </p>
        </tc>
        <tc>
          <tcPr>
            <tcW type="dxa" w="27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[75%] of total engagement fee</t>
            </r>
          </p>
        </tc>
        <tc>
          <tcPr>
            <tcW type="dxa" w="326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Materials completed; facilitator and observer schedules committed</t>
            </r>
          </p>
        </tc>
      </tr>
      <tr>
        <tc>
          <tcPr>
            <tcW type="dxa" w="34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Within 5 business days of the exercise, or no-show</t>
            </r>
          </p>
        </tc>
        <tc>
          <tcPr>
            <tcW type="dxa" w="27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[100%] of total engagement fee</t>
            </r>
          </p>
        </tc>
        <tc>
          <tcPr>
            <tcW type="dxa" w="326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Full preparation complete; date committed</t>
            </r>
          </p>
        </tc>
      </tr>
    </tbl>
    <p>
      <pPr>
        <spacing after="120" before="0" line="276"/>
      </pPr>
      <r>
        <rPr>
          <rFonts ascii="Calibri" cs="Calibri" eastAsia="Calibri" hAnsi="Calibri"/>
          <color val="404040"/>
          <sz val="21"/>
          <szCs val="21"/>
        </rPr>
        <t xml:space="preserve">A.2.2 Provider shall deliver all work product completed as of the cancellation date to Client, including any scenarios, materials, or partial deliverables, upon receipt of cancellation fees.</t>
      </r>
    </p>
    <p>
      <pPr>
        <spacing after="120" before="0" line="276"/>
      </pPr>
      <r>
        <rPr>
          <rFonts ascii="Calibri" cs="Calibri" eastAsia="Calibri" hAnsi="Calibri"/>
          <color val="404040"/>
          <sz val="21"/>
          <szCs val="21"/>
        </rPr>
        <t xml:space="preserve">A.2.3 Client retains the right to re-engage Provider for a new engagement at standard rates without prejudice.</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C00000" sz="24"/>
              <bottom val="none" color="FFFFFF" sz="0"/>
              <right val="none" color="FFFFFF" sz="0"/>
            </tcBorders>
            <shd fill="FBE4E4" val="clear"/>
            <tcMar>
              <top type="dxa" w="100"/>
              <left type="dxa" w="160"/>
              <bottom type="dxa" w="100"/>
              <right type="dxa" w="160"/>
            </tcMar>
          </tcPr>
          <p>
            <pPr>
              <spacing after="60"/>
            </pPr>
            <r>
              <rPr>
                <rFonts ascii="Calibri" cs="Calibri" eastAsia="Calibri" hAnsi="Calibri"/>
                <b/>
                <bCs/>
                <color val="C00000"/>
                <sz val="20"/>
                <szCs val="20"/>
              </rPr>
              <t xml:space="preserve">⚖  ATTORNEY REVIEW REQUIRED: Fee enforceability</t>
            </r>
          </p>
          <p>
            <pPr>
              <spacing after="40" before="0" line="276"/>
            </pPr>
            <r>
              <rPr>
                <rFonts ascii="Calibri" cs="Calibri" eastAsia="Calibri" hAnsi="Calibri"/>
                <color val="404040"/>
                <sz val="20"/>
                <szCs val="20"/>
              </rPr>
              <t xml:space="preserve">Rescheduling and cancellation fees should be reviewed by counsel for enforceability. Some jurisdictions limit cancellation fees that are not reasonably related to actual costs. Keep the percentages tied to real costs (scenario development, facilitator and observer time allocation, administrative effort) rather than punitive charges.</t>
            </r>
          </p>
        </tc>
      </tr>
    </tbl>
    <p>
      <pPr>
        <pStyle val="Heading2"/>
        <keepNext/>
        <spacing after="110" before="240"/>
      </pPr>
      <r>
        <rPr>
          <rFonts ascii="Calibri" cs="Calibri" eastAsia="Calibri" hAnsi="Calibri"/>
          <b/>
          <bCs/>
          <color val="2E74B5"/>
          <sz val="25"/>
          <szCs val="25"/>
        </rPr>
        <t xml:space="preserve">A.3 Provider-Initiated Rescheduling</t>
      </r>
    </p>
    <p>
      <pPr>
        <spacing after="120" before="0" line="276"/>
      </pPr>
      <r>
        <rPr>
          <rFonts ascii="Calibri" cs="Calibri" eastAsia="Calibri" hAnsi="Calibri"/>
          <color val="404040"/>
          <sz val="21"/>
          <szCs val="21"/>
        </rPr>
        <t xml:space="preserve">A.3.1 In the event that Provider must reschedule due to facilitator or observer illness, emergency, or other circumstances within Provider's control, Provider shall: (a) notify Client as soon as practicable; (b) offer a minimum of three alternative dates within [30] days of the original date; and (c) bear all costs associated with the rescheduling.</t>
      </r>
    </p>
    <p>
      <pPr>
        <spacing after="120" before="0" line="276"/>
      </pPr>
      <r>
        <rPr>
          <rFonts ascii="Calibri" cs="Calibri" eastAsia="Calibri" hAnsi="Calibri"/>
          <color val="404040"/>
          <sz val="21"/>
          <szCs val="21"/>
        </rPr>
        <t xml:space="preserve">A.3.2 If Provider cannot deliver the exercise within [30] days of the original date, Client may cancel the engagement for a full refund of all fees paid.</t>
      </r>
    </p>
    <p>
      <pPr>
        <pStyle val="Heading2"/>
        <keepNext/>
        <spacing after="110" before="240"/>
      </pPr>
      <r>
        <rPr>
          <rFonts ascii="Calibri" cs="Calibri" eastAsia="Calibri" hAnsi="Calibri"/>
          <b/>
          <bCs/>
          <color val="2E74B5"/>
          <sz val="25"/>
          <szCs val="25"/>
        </rPr>
        <t xml:space="preserve">A.4 Force Majeure</t>
      </r>
    </p>
    <p>
      <pPr>
        <spacing after="120" before="0" line="276"/>
      </pPr>
      <r>
        <rPr>
          <rFonts ascii="Calibri" cs="Calibri" eastAsia="Calibri" hAnsi="Calibri"/>
          <color val="404040"/>
          <sz val="21"/>
          <szCs val="21"/>
        </rPr>
        <t xml:space="preserve">A.4.1 Neither Party shall be liable for delays or failure to perform resulting from events beyond the reasonable control of the affected Party, including but not limited to: natural disasters, pandemics, government orders, civil unrest, severe weather, widespread power or internet outages, or other acts of God (each, a “Force Majeure Event”).</t>
      </r>
    </p>
    <p>
      <pPr>
        <spacing after="120" before="0" line="276"/>
      </pPr>
      <r>
        <rPr>
          <rFonts ascii="Calibri" cs="Calibri" eastAsia="Calibri" hAnsi="Calibri"/>
          <color val="404040"/>
          <sz val="21"/>
          <szCs val="21"/>
        </rPr>
        <t xml:space="preserve">A.4.2 The affected Party shall notify the other Party of a Force Majeure Event as soon as practicable and shall use reasonable efforts to mitigate the impact and resume performance.</t>
      </r>
    </p>
    <p>
      <pPr>
        <spacing after="120" before="0" line="276"/>
      </pPr>
      <r>
        <rPr>
          <rFonts ascii="Calibri" cs="Calibri" eastAsia="Calibri" hAnsi="Calibri"/>
          <color val="404040"/>
          <sz val="21"/>
          <szCs val="21"/>
        </rPr>
        <t xml:space="preserve">A.4.3 If a Force Majeure Event prevents exercise delivery for more than [60] days, either Party may terminate the engagement. In such case, Client shall pay for work completed to date, and Provider shall refund any fees paid for undelivered services.</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C00000" sz="24"/>
              <bottom val="none" color="FFFFFF" sz="0"/>
              <right val="none" color="FFFFFF" sz="0"/>
            </tcBorders>
            <shd fill="FBE4E4" val="clear"/>
            <tcMar>
              <top type="dxa" w="100"/>
              <left type="dxa" w="160"/>
              <bottom type="dxa" w="100"/>
              <right type="dxa" w="160"/>
            </tcMar>
          </tcPr>
          <p>
            <pPr>
              <spacing after="60"/>
            </pPr>
            <r>
              <rPr>
                <rFonts ascii="Calibri" cs="Calibri" eastAsia="Calibri" hAnsi="Calibri"/>
                <b/>
                <bCs/>
                <color val="C00000"/>
                <sz val="20"/>
                <szCs val="20"/>
              </rPr>
              <t xml:space="preserve">⚖  ATTORNEY REVIEW REQUIRED: Force majeure</t>
            </r>
          </p>
          <p>
            <pPr>
              <spacing after="40" before="0" line="276"/>
            </pPr>
            <r>
              <rPr>
                <rFonts ascii="Calibri" cs="Calibri" eastAsia="Calibri" hAnsi="Calibri"/>
                <color val="404040"/>
                <sz val="20"/>
                <szCs val="20"/>
              </rPr>
              <t xml:space="preserve">Force majeure provisions receive heightened scrutiny post-pandemic. Ensure the definition is appropriate for your jurisdiction and the engagement's actual risks. Virtual delivery can mitigate several events that would prevent in-person delivery, and the clause should account for that option.</t>
            </r>
          </p>
        </tc>
      </tr>
    </tbl>
    <p>
      <pPr>
        <pStyle val="Heading2"/>
        <keepNext/>
        <spacing after="110" before="240"/>
      </pPr>
      <r>
        <rPr>
          <rFonts ascii="Calibri" cs="Calibri" eastAsia="Calibri" hAnsi="Calibri"/>
          <b/>
          <bCs/>
          <color val="2E74B5"/>
          <sz val="25"/>
          <szCs val="25"/>
        </rPr>
        <t xml:space="preserve">A.5 Partial Attendance and Key Stakeholder Absence</t>
      </r>
    </p>
    <p>
      <pPr>
        <spacing after="120" before="0" line="276"/>
      </pPr>
      <r>
        <rPr>
          <rFonts ascii="Calibri" cs="Calibri" eastAsia="Calibri" hAnsi="Calibri"/>
          <color val="404040"/>
          <sz val="21"/>
          <szCs val="21"/>
        </rPr>
        <t xml:space="preserve">A.5.1 If participants identified as key stakeholders during planning are unable to attend on the exercise date, Client should notify Provider as soon as possible. Provider will consult with Client on whether to proceed, reschedule, or modify the exercise scope, guided by the Key Stakeholder Absence Framework in the Planning Workbook (03 - Plan folder).</t>
      </r>
    </p>
    <p>
      <pPr>
        <spacing after="120" before="0" line="276"/>
      </pPr>
      <r>
        <rPr>
          <rFonts ascii="Calibri" cs="Calibri" eastAsia="Calibri" hAnsi="Calibri"/>
          <color val="404040"/>
          <sz val="21"/>
          <szCs val="21"/>
        </rPr>
        <t xml:space="preserve">A.5.2 If Client elects to proceed with reduced participation, the AAR will note the absent functional areas as a limitation on the exercise's comprehensiveness. No fee adjustment applies for reduced participation.</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1F3864" sz="24"/>
              <bottom val="none" color="FFFFFF" sz="0"/>
              <right val="none" color="FFFFFF" sz="0"/>
            </tcBorders>
            <shd fill="EDF2F9" val="clear"/>
            <tcMar>
              <top type="dxa" w="100"/>
              <left type="dxa" w="160"/>
              <bottom type="dxa" w="100"/>
              <right type="dxa" w="160"/>
            </tcMar>
          </tcPr>
          <p>
            <pPr>
              <spacing after="60"/>
            </pPr>
            <r>
              <rPr>
                <rFonts ascii="Calibri" cs="Calibri" eastAsia="Calibri" hAnsi="Calibri"/>
                <b/>
                <bCs/>
                <color val="1F3864"/>
                <sz val="20"/>
                <szCs val="20"/>
              </rPr>
              <t xml:space="preserve">ℹ  GUIDANCE: Proceed or reschedule</t>
            </r>
          </p>
          <p>
            <pPr>
              <spacing after="40" before="0" line="276"/>
            </pPr>
            <r>
              <rPr>
                <rFonts ascii="Calibri" cs="Calibri" eastAsia="Calibri" hAnsi="Calibri"/>
                <color val="404040"/>
                <sz val="20"/>
                <szCs val="20"/>
              </rPr>
              <t xml:space="preserve">The proceed-or-reschedule decision should be collaborative: the facilitator advises, the client decides. The Key Stakeholder Absence Framework in the Planning Workbook (03 - Plan folder) identifies which roles are critical enough to warrant rescheduling versus proceeding with a proxy or an adjusted scope.</t>
            </r>
          </p>
        </tc>
      </tr>
    </tbl>
    <p>
      <pPr>
        <pStyle val="Heading2"/>
        <keepNext/>
        <spacing after="110" before="240"/>
      </pPr>
      <r>
        <rPr>
          <rFonts ascii="Calibri" cs="Calibri" eastAsia="Calibri" hAnsi="Calibri"/>
          <b/>
          <bCs/>
          <color val="2E74B5"/>
          <sz val="25"/>
          <szCs val="25"/>
        </rPr>
        <t xml:space="preserve">A.6 Good-Faith Resolution</t>
      </r>
    </p>
    <p>
      <pPr>
        <spacing after="120" before="0" line="276"/>
      </pPr>
      <r>
        <rPr>
          <rFonts ascii="Calibri" cs="Calibri" eastAsia="Calibri" hAnsi="Calibri"/>
          <color val="404040"/>
          <sz val="21"/>
          <szCs val="21"/>
        </rPr>
        <t xml:space="preserve">A.6.1 For circumstances not specifically addressed by this policy, or where the application of a specific provision would produce an inequitable result, the Parties agree to negotiate in good faith to reach a fair and reasonable resolution that considers the legitimate interests of both Parties, the work performed to date, and the costs incurred by each Party.</t>
      </r>
    </p>
    <p>
      <pPr>
        <pStyle val="Heading2"/>
        <keepNext/>
        <spacing after="110" before="240"/>
      </pPr>
      <r>
        <rPr>
          <rFonts ascii="Calibri" cs="Calibri" eastAsia="Calibri" hAnsi="Calibri"/>
          <b/>
          <bCs/>
          <color val="2E74B5"/>
          <sz val="25"/>
          <szCs val="25"/>
        </rPr>
        <t xml:space="preserve">A.7 Acknowledgment</t>
      </r>
    </p>
    <p>
      <pPr>
        <spacing after="120" before="0" line="276"/>
      </pPr>
      <r>
        <rPr>
          <rFonts ascii="Calibri" cs="Calibri" eastAsia="Calibri" hAnsi="Calibri"/>
          <color val="404040"/>
          <sz val="21"/>
          <szCs val="21"/>
        </rPr>
        <t xml:space="preserve">A.7.1 By executing the Statement of Work and Engagement Terms, Client acknowledges receipt of and agreement to this Cancellation and Rescheduling Policy. No separate signature is required for this Exhibit.</t>
      </r>
    </p>
    <sectPr>
      <headerReference type="default" r:id="rId7"/>
      <footerReference type="default" r:id="rId8"/>
      <pgSz w="12240" h="15840" orient="portrait"/>
      <pgMar top="1440" right="1440" bottom="1440" left="1440" header="708" footer="708" gutter="0"/>
      <pgNumType/>
      <docGrid linePitch="360"/>
    </sectPr>
  </body>
</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Statement of Work and Engagement Terms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2026-07-14T21:29:10.999Z</dcterms:created>
  <dcterms:modified xsi:type="dcterms:W3CDTF">2026-07-14T21:29:11.000Z</dcterms:modified>
</cp:coreProperties>
</file>

<file path=docProps/custom.xml><?xml version="1.0" encoding="utf-8"?>
<Properties xmlns="http://schemas.openxmlformats.org/officeDocument/2006/custom-properties" xmlns:vt="http://schemas.openxmlformats.org/officeDocument/2006/docPropsVTypes"/>
</file>